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C5802" w14:textId="77777777" w:rsidR="000C18B2" w:rsidRPr="00546769" w:rsidRDefault="000C18B2" w:rsidP="00546769">
      <w:pPr>
        <w:pStyle w:val="Heading1"/>
        <w:pBdr>
          <w:bottom w:val="none" w:sz="0" w:space="0" w:color="auto"/>
        </w:pBdr>
        <w:rPr>
          <w:sz w:val="56"/>
          <w:szCs w:val="56"/>
        </w:rPr>
      </w:pPr>
      <w:r w:rsidRPr="00546769">
        <w:rPr>
          <w:sz w:val="56"/>
          <w:szCs w:val="56"/>
        </w:rPr>
        <w:t>The 4Es of Employability</w:t>
      </w:r>
    </w:p>
    <w:p w14:paraId="07793D97" w14:textId="37546710" w:rsidR="001F6DAC" w:rsidRPr="000C18B2" w:rsidRDefault="00437DDC" w:rsidP="000C18B2">
      <w:r w:rsidRPr="000C18B2">
        <w:t xml:space="preserve">Academics feel overwhelmed as they are faced with the responsibility of developing </w:t>
      </w:r>
      <w:r w:rsidR="001F6DAC" w:rsidRPr="000C18B2">
        <w:t xml:space="preserve">employability </w:t>
      </w:r>
      <w:r w:rsidRPr="000C18B2">
        <w:t xml:space="preserve">capabilities </w:t>
      </w:r>
      <w:r w:rsidR="00E35ED1" w:rsidRPr="000C18B2">
        <w:t>and</w:t>
      </w:r>
      <w:r w:rsidRPr="000C18B2">
        <w:t xml:space="preserve"> attributes</w:t>
      </w:r>
      <w:r w:rsidR="00A55E24">
        <w:t>,</w:t>
      </w:r>
      <w:r w:rsidRPr="000C18B2">
        <w:t xml:space="preserve"> in addition to delivering discipline specific content and skills. </w:t>
      </w:r>
      <w:r w:rsidR="001F6DAC" w:rsidRPr="000C18B2">
        <w:t>They realise that the shift towards teaching sustainable capabilities means a shift in the way they teach. But what that shift should be</w:t>
      </w:r>
      <w:r w:rsidR="00A55E24">
        <w:t>,</w:t>
      </w:r>
      <w:r w:rsidR="001F6DAC" w:rsidRPr="000C18B2">
        <w:t xml:space="preserve"> or how they should bring it about</w:t>
      </w:r>
      <w:r w:rsidR="00A55E24">
        <w:t>,</w:t>
      </w:r>
      <w:r w:rsidR="001F6DAC" w:rsidRPr="000C18B2">
        <w:t xml:space="preserve"> is unclear. In workshops with academic staff</w:t>
      </w:r>
      <w:r w:rsidR="00150DD8" w:rsidRPr="000C18B2">
        <w:t>,</w:t>
      </w:r>
      <w:r w:rsidR="001F6DAC" w:rsidRPr="000C18B2">
        <w:t xml:space="preserve"> the project team have discovered that the single most important challenge staff feel they face is not having a single and simple pedagogical model to guide their teaching. </w:t>
      </w:r>
      <w:r w:rsidRPr="000C18B2">
        <w:t xml:space="preserve">The 4Es of Employability model </w:t>
      </w:r>
      <w:r w:rsidR="008B262E" w:rsidRPr="000C18B2">
        <w:t xml:space="preserve">is </w:t>
      </w:r>
      <w:r w:rsidR="00351827" w:rsidRPr="000C18B2">
        <w:t xml:space="preserve">intended to provide </w:t>
      </w:r>
      <w:r w:rsidR="001F6DAC" w:rsidRPr="000C18B2">
        <w:t>such a model</w:t>
      </w:r>
      <w:r w:rsidR="00A55E24">
        <w:t>,</w:t>
      </w:r>
      <w:r w:rsidR="001F6DAC" w:rsidRPr="000C18B2">
        <w:t xml:space="preserve"> and to stimulate small but impactful modifications to existing practices in ways that </w:t>
      </w:r>
      <w:r w:rsidR="00351827" w:rsidRPr="000C18B2">
        <w:t xml:space="preserve">encourage deep learning of disciplinary knowledge and </w:t>
      </w:r>
      <w:r w:rsidR="00387086" w:rsidRPr="000C18B2">
        <w:t xml:space="preserve">graduate capabilities. </w:t>
      </w:r>
    </w:p>
    <w:p w14:paraId="513C7CE2" w14:textId="1233D69E" w:rsidR="00437DDC" w:rsidRDefault="001F6DAC" w:rsidP="000C18B2">
      <w:r>
        <w:t xml:space="preserve">The </w:t>
      </w:r>
      <w:r w:rsidR="00582E87">
        <w:t>need</w:t>
      </w:r>
      <w:r>
        <w:t xml:space="preserve"> to develop in our students attitudes and values such as ethics, integrity, social responsibility, proactivity and adaptability</w:t>
      </w:r>
      <w:r w:rsidR="00A55E24">
        <w:t>,</w:t>
      </w:r>
      <w:r>
        <w:t xml:space="preserve"> </w:t>
      </w:r>
      <w:r w:rsidR="00A55E24">
        <w:t xml:space="preserve">as well as </w:t>
      </w:r>
      <w:r>
        <w:t>the capacity to think critically and creatively</w:t>
      </w:r>
      <w:r w:rsidR="00A55E24">
        <w:t>,</w:t>
      </w:r>
      <w:r>
        <w:t xml:space="preserve"> moves us very firmly away from transmissive models of education and into the zone of transformational learning</w:t>
      </w:r>
      <w:r w:rsidR="007F3E7A">
        <w:t>. Transformational learning is a form of learning that</w:t>
      </w:r>
      <w:r w:rsidR="00E84498">
        <w:t xml:space="preserve"> claims as an outcome</w:t>
      </w:r>
      <w:r w:rsidR="007F3E7A">
        <w:t xml:space="preserve"> a </w:t>
      </w:r>
      <w:r w:rsidR="007F3E7A" w:rsidRPr="00CE3BAE">
        <w:t xml:space="preserve">change in self </w:t>
      </w:r>
      <w:r w:rsidR="00546769" w:rsidRPr="00CE3BAE">
        <w:t>(Boyd &amp; Myers, 1988</w:t>
      </w:r>
      <w:r w:rsidR="007F3E7A" w:rsidRPr="00CE3BAE">
        <w:t>).</w:t>
      </w:r>
      <w:r w:rsidR="003C655D" w:rsidRPr="00CE3BAE">
        <w:t xml:space="preserve"> </w:t>
      </w:r>
      <w:r w:rsidR="001231B2" w:rsidRPr="00CE3BAE">
        <w:t>Cranton (</w:t>
      </w:r>
      <w:r w:rsidR="00D821E3">
        <w:t>1992</w:t>
      </w:r>
      <w:r w:rsidR="007F3E7A" w:rsidRPr="00CE3BAE">
        <w:t>) proposes three types of</w:t>
      </w:r>
      <w:r w:rsidR="007F3E7A">
        <w:t xml:space="preserve"> change</w:t>
      </w:r>
      <w:r w:rsidR="005218A4">
        <w:t xml:space="preserve"> in self:</w:t>
      </w:r>
      <w:r w:rsidR="007F3E7A">
        <w:t xml:space="preserve"> assumptions, perspective, and behavio</w:t>
      </w:r>
      <w:r w:rsidR="005218A4">
        <w:t>u</w:t>
      </w:r>
      <w:r w:rsidR="007F3E7A">
        <w:t xml:space="preserve">r. </w:t>
      </w:r>
      <w:r w:rsidR="00582E87">
        <w:t xml:space="preserve">While transformational learning involves a change in the individual’s very being rather than a simple accumulation of knowledge, the graduate profile/employability agenda requires not only that a change occurs but that it is used in </w:t>
      </w:r>
      <w:r w:rsidR="00E84498">
        <w:t>students’</w:t>
      </w:r>
      <w:r w:rsidR="00582E87">
        <w:t xml:space="preserve"> lives and careers. Thus we are seeking teaching that is not only transformative but also transferable. </w:t>
      </w:r>
      <w:r w:rsidR="003C655D">
        <w:t>Th</w:t>
      </w:r>
      <w:r w:rsidR="00E84498">
        <w:t xml:space="preserve">e </w:t>
      </w:r>
      <w:r w:rsidR="003C655D">
        <w:t xml:space="preserve">literature is vast, complex and in places contradictory. </w:t>
      </w:r>
      <w:r w:rsidR="00582E87">
        <w:t>Most academics cannot devote the time it might take to make sense of the research</w:t>
      </w:r>
      <w:r w:rsidR="00433F06">
        <w:t>,</w:t>
      </w:r>
      <w:r w:rsidR="00582E87">
        <w:t xml:space="preserve"> let alone work out how to apply it </w:t>
      </w:r>
      <w:r w:rsidR="00433F06">
        <w:t xml:space="preserve">to </w:t>
      </w:r>
      <w:r w:rsidR="00582E87">
        <w:t xml:space="preserve">their practice. </w:t>
      </w:r>
      <w:r w:rsidR="003C655D">
        <w:t>In an effort to identify common principles or archetypal practices t</w:t>
      </w:r>
      <w:r w:rsidR="008272C1">
        <w:t xml:space="preserve">he </w:t>
      </w:r>
      <w:r w:rsidR="003C655D">
        <w:t>research team have drawn</w:t>
      </w:r>
      <w:r w:rsidR="008272C1">
        <w:t xml:space="preserve"> on </w:t>
      </w:r>
      <w:r w:rsidR="003C655D">
        <w:t xml:space="preserve">the following </w:t>
      </w:r>
      <w:r w:rsidR="008272C1">
        <w:t xml:space="preserve">theories: </w:t>
      </w:r>
    </w:p>
    <w:p w14:paraId="188FB854" w14:textId="77777777" w:rsidR="00874E4E" w:rsidRDefault="00874E4E" w:rsidP="000C18B2">
      <w:pPr>
        <w:pStyle w:val="ListParagraph"/>
        <w:numPr>
          <w:ilvl w:val="0"/>
          <w:numId w:val="1"/>
        </w:numPr>
      </w:pPr>
      <w:r>
        <w:t>Transformational learning</w:t>
      </w:r>
    </w:p>
    <w:p w14:paraId="5C9F3A44" w14:textId="77777777" w:rsidR="00874E4E" w:rsidRDefault="00874E4E" w:rsidP="000C18B2">
      <w:pPr>
        <w:pStyle w:val="ListParagraph"/>
        <w:numPr>
          <w:ilvl w:val="0"/>
          <w:numId w:val="1"/>
        </w:numPr>
      </w:pPr>
      <w:r>
        <w:t>Social cognitive theory</w:t>
      </w:r>
    </w:p>
    <w:p w14:paraId="638B350B" w14:textId="77777777" w:rsidR="00874E4E" w:rsidRDefault="00874E4E" w:rsidP="000C18B2">
      <w:pPr>
        <w:pStyle w:val="ListParagraph"/>
        <w:numPr>
          <w:ilvl w:val="0"/>
          <w:numId w:val="1"/>
        </w:numPr>
      </w:pPr>
      <w:r>
        <w:t>Constructivism and social constructivism</w:t>
      </w:r>
    </w:p>
    <w:p w14:paraId="6E7EC7E0" w14:textId="77777777" w:rsidR="00874E4E" w:rsidRDefault="00874E4E" w:rsidP="000C18B2">
      <w:pPr>
        <w:pStyle w:val="ListParagraph"/>
        <w:numPr>
          <w:ilvl w:val="0"/>
          <w:numId w:val="1"/>
        </w:numPr>
      </w:pPr>
      <w:r>
        <w:t>Transformational leadership</w:t>
      </w:r>
    </w:p>
    <w:p w14:paraId="10C6D743" w14:textId="77777777" w:rsidR="00874E4E" w:rsidRDefault="00874E4E" w:rsidP="000C18B2">
      <w:pPr>
        <w:pStyle w:val="ListParagraph"/>
        <w:numPr>
          <w:ilvl w:val="0"/>
          <w:numId w:val="1"/>
        </w:numPr>
      </w:pPr>
      <w:r>
        <w:t>Transfer of learning</w:t>
      </w:r>
    </w:p>
    <w:p w14:paraId="373CD49F" w14:textId="77777777" w:rsidR="00874E4E" w:rsidRDefault="00874E4E" w:rsidP="000C18B2">
      <w:pPr>
        <w:pStyle w:val="ListParagraph"/>
        <w:numPr>
          <w:ilvl w:val="0"/>
          <w:numId w:val="1"/>
        </w:numPr>
      </w:pPr>
      <w:r>
        <w:lastRenderedPageBreak/>
        <w:t>Intentional change theory</w:t>
      </w:r>
    </w:p>
    <w:p w14:paraId="33B5A2D7" w14:textId="77777777" w:rsidR="00874E4E" w:rsidRDefault="00874E4E" w:rsidP="000C18B2">
      <w:pPr>
        <w:pStyle w:val="ListParagraph"/>
        <w:numPr>
          <w:ilvl w:val="0"/>
          <w:numId w:val="1"/>
        </w:numPr>
      </w:pPr>
      <w:r>
        <w:t>Transformational teaching</w:t>
      </w:r>
    </w:p>
    <w:p w14:paraId="5A34EC18" w14:textId="77777777" w:rsidR="00874E4E" w:rsidRDefault="00874E4E" w:rsidP="000C18B2">
      <w:pPr>
        <w:pStyle w:val="ListParagraph"/>
        <w:numPr>
          <w:ilvl w:val="0"/>
          <w:numId w:val="1"/>
        </w:numPr>
      </w:pPr>
      <w:r>
        <w:t>Phenomenography</w:t>
      </w:r>
    </w:p>
    <w:p w14:paraId="3B523454" w14:textId="1A9DA349" w:rsidR="003C655D" w:rsidRDefault="003C655D" w:rsidP="000C18B2">
      <w:r>
        <w:t xml:space="preserve">A simple set of 4 principles are proposed </w:t>
      </w:r>
      <w:r w:rsidR="00433F06">
        <w:t xml:space="preserve">that </w:t>
      </w:r>
      <w:r>
        <w:t xml:space="preserve">can be flexibly deployed in a wide range of settings. The vision is to provide teaching staff with a theoretically informed model that is easy to understand and can be used to support the design of student experiences. </w:t>
      </w:r>
    </w:p>
    <w:p w14:paraId="5BAE4BA9" w14:textId="2C8DF2D3" w:rsidR="003C655D" w:rsidRDefault="003C655D" w:rsidP="000C18B2">
      <w:r>
        <w:t xml:space="preserve">The model has four teaching principles </w:t>
      </w:r>
      <w:r w:rsidR="00433F06">
        <w:t>encompassing</w:t>
      </w:r>
      <w:r>
        <w:t xml:space="preserve"> the need to:</w:t>
      </w:r>
    </w:p>
    <w:p w14:paraId="489987BB" w14:textId="54855E9D" w:rsidR="003C655D" w:rsidRDefault="003C655D" w:rsidP="000C18B2">
      <w:pPr>
        <w:pStyle w:val="ListParagraph"/>
        <w:numPr>
          <w:ilvl w:val="0"/>
          <w:numId w:val="9"/>
        </w:numPr>
      </w:pPr>
      <w:r w:rsidRPr="003C655D">
        <w:rPr>
          <w:b/>
        </w:rPr>
        <w:t>E</w:t>
      </w:r>
      <w:r w:rsidR="005638A0">
        <w:rPr>
          <w:b/>
        </w:rPr>
        <w:t>nthuse</w:t>
      </w:r>
      <w:r>
        <w:t xml:space="preserve"> students about their learning; </w:t>
      </w:r>
    </w:p>
    <w:p w14:paraId="44F8FC02" w14:textId="77777777" w:rsidR="003C655D" w:rsidRDefault="003C655D" w:rsidP="000C18B2">
      <w:pPr>
        <w:pStyle w:val="ListParagraph"/>
        <w:numPr>
          <w:ilvl w:val="0"/>
          <w:numId w:val="9"/>
        </w:numPr>
      </w:pPr>
      <w:r>
        <w:t xml:space="preserve">Enable students to </w:t>
      </w:r>
      <w:r>
        <w:rPr>
          <w:b/>
        </w:rPr>
        <w:t>e</w:t>
      </w:r>
      <w:r w:rsidRPr="003C655D">
        <w:rPr>
          <w:b/>
        </w:rPr>
        <w:t xml:space="preserve">xplore </w:t>
      </w:r>
      <w:r>
        <w:t xml:space="preserve">new concepts; </w:t>
      </w:r>
    </w:p>
    <w:p w14:paraId="1EE8A1DC" w14:textId="77777777" w:rsidR="003C655D" w:rsidRDefault="003C655D" w:rsidP="000C18B2">
      <w:pPr>
        <w:pStyle w:val="ListParagraph"/>
        <w:numPr>
          <w:ilvl w:val="0"/>
          <w:numId w:val="9"/>
        </w:numPr>
      </w:pPr>
      <w:r>
        <w:t xml:space="preserve">Provide challenging but secure opportunities so learners </w:t>
      </w:r>
      <w:r>
        <w:rPr>
          <w:b/>
        </w:rPr>
        <w:t>e</w:t>
      </w:r>
      <w:r w:rsidRPr="003C655D">
        <w:rPr>
          <w:b/>
        </w:rPr>
        <w:t>xtend</w:t>
      </w:r>
      <w:r>
        <w:t xml:space="preserve"> and embed their knowledge</w:t>
      </w:r>
      <w:r w:rsidR="00E84498">
        <w:t>;</w:t>
      </w:r>
      <w:r>
        <w:t xml:space="preserve"> </w:t>
      </w:r>
    </w:p>
    <w:p w14:paraId="5D963330" w14:textId="669C4B51" w:rsidR="00582E87" w:rsidRDefault="00433F06" w:rsidP="000C18B2">
      <w:pPr>
        <w:pStyle w:val="ListParagraph"/>
        <w:numPr>
          <w:ilvl w:val="0"/>
          <w:numId w:val="9"/>
        </w:numPr>
      </w:pPr>
      <w:r>
        <w:t>T</w:t>
      </w:r>
      <w:r w:rsidR="003C655D">
        <w:t xml:space="preserve">o devise ways for students to </w:t>
      </w:r>
      <w:r w:rsidR="003C655D">
        <w:rPr>
          <w:b/>
        </w:rPr>
        <w:t>e</w:t>
      </w:r>
      <w:r w:rsidR="003C655D" w:rsidRPr="003C655D">
        <w:rPr>
          <w:b/>
        </w:rPr>
        <w:t>xhibit</w:t>
      </w:r>
      <w:r w:rsidR="003C655D">
        <w:t xml:space="preserve"> their learning in authentic and contextually meaningful ways.</w:t>
      </w:r>
    </w:p>
    <w:p w14:paraId="6636901A" w14:textId="77777777" w:rsidR="008B262E" w:rsidRDefault="009918E5" w:rsidP="000C18B2">
      <w:r>
        <w:t xml:space="preserve">A description of each principle and suggested practices </w:t>
      </w:r>
      <w:r w:rsidR="00351827">
        <w:t>is</w:t>
      </w:r>
      <w:r>
        <w:t xml:space="preserve"> given below.</w:t>
      </w:r>
    </w:p>
    <w:p w14:paraId="56432337" w14:textId="2B70E5F2" w:rsidR="00A61F9B" w:rsidRPr="000C18B2" w:rsidRDefault="000C18B2" w:rsidP="000C18B2">
      <w:pPr>
        <w:pStyle w:val="Heading1"/>
      </w:pPr>
      <w:r w:rsidRPr="000C18B2">
        <w:t>E</w:t>
      </w:r>
      <w:r w:rsidR="005638A0">
        <w:t>nthuse</w:t>
      </w:r>
      <w:bookmarkStart w:id="0" w:name="_GoBack"/>
      <w:bookmarkEnd w:id="0"/>
    </w:p>
    <w:p w14:paraId="68AAD2CA" w14:textId="77777777" w:rsidR="00CF40F3" w:rsidRPr="00CF40F3" w:rsidRDefault="008F72FC" w:rsidP="000C18B2">
      <w:r>
        <w:t xml:space="preserve">Students are more likely to learn if they are motivated by the prospect of a course, find learning </w:t>
      </w:r>
      <w:r w:rsidR="004514A4">
        <w:t xml:space="preserve">relevant to their </w:t>
      </w:r>
      <w:r w:rsidR="00E15703">
        <w:t>current conceptions</w:t>
      </w:r>
      <w:r w:rsidR="00433F06">
        <w:t>,</w:t>
      </w:r>
      <w:r>
        <w:t xml:space="preserve"> and feel they are likely to be successful.</w:t>
      </w:r>
      <w:r w:rsidR="00DB097E">
        <w:t xml:space="preserve"> This is</w:t>
      </w:r>
      <w:r w:rsidR="00CF40F3">
        <w:t xml:space="preserve"> demonstrated in the following theories:</w:t>
      </w:r>
    </w:p>
    <w:p w14:paraId="7C65791A" w14:textId="77777777" w:rsidR="008F72FC" w:rsidRPr="00CE3BAE" w:rsidRDefault="004514A4" w:rsidP="000C18B2">
      <w:pPr>
        <w:pStyle w:val="ListParagraph"/>
        <w:numPr>
          <w:ilvl w:val="0"/>
          <w:numId w:val="2"/>
        </w:numPr>
      </w:pPr>
      <w:r>
        <w:t>Student s</w:t>
      </w:r>
      <w:r w:rsidR="008F72FC">
        <w:t>elf-</w:t>
      </w:r>
      <w:r w:rsidR="008F72FC" w:rsidRPr="00CE3BAE">
        <w:t>efficacy is a powerful determinant of learning (Bandura, 1997)</w:t>
      </w:r>
      <w:r w:rsidRPr="00CE3BAE">
        <w:t>.</w:t>
      </w:r>
    </w:p>
    <w:p w14:paraId="5BE3E5F6" w14:textId="77777777" w:rsidR="0082457B" w:rsidRPr="00CE3BAE" w:rsidRDefault="0082457B" w:rsidP="000C18B2">
      <w:pPr>
        <w:pStyle w:val="ListParagraph"/>
        <w:numPr>
          <w:ilvl w:val="0"/>
          <w:numId w:val="2"/>
        </w:numPr>
      </w:pPr>
      <w:r w:rsidRPr="00CE3BAE">
        <w:t>Constructivist theories state that learning can only be built from current conceptions (Piaget</w:t>
      </w:r>
      <w:r w:rsidR="008F5223" w:rsidRPr="00CE3BAE">
        <w:t xml:space="preserve">, </w:t>
      </w:r>
      <w:r w:rsidR="00160FBC" w:rsidRPr="00CE3BAE">
        <w:t>1967</w:t>
      </w:r>
      <w:r w:rsidRPr="00CE3BAE">
        <w:t>)</w:t>
      </w:r>
      <w:r w:rsidR="00E15703" w:rsidRPr="00CE3BAE">
        <w:t>.</w:t>
      </w:r>
      <w:r w:rsidRPr="00CE3BAE">
        <w:t xml:space="preserve"> </w:t>
      </w:r>
    </w:p>
    <w:p w14:paraId="50F9F099" w14:textId="15025B10" w:rsidR="008F72FC" w:rsidRPr="00CE3BAE" w:rsidRDefault="004514A4" w:rsidP="000C18B2">
      <w:pPr>
        <w:pStyle w:val="ListParagraph"/>
        <w:numPr>
          <w:ilvl w:val="0"/>
          <w:numId w:val="2"/>
        </w:numPr>
      </w:pPr>
      <w:r w:rsidRPr="00CE3BAE">
        <w:t>Intentional change theory suggest</w:t>
      </w:r>
      <w:r w:rsidR="008F5223" w:rsidRPr="00CE3BAE">
        <w:t>s</w:t>
      </w:r>
      <w:r w:rsidRPr="00CE3BAE">
        <w:t xml:space="preserve"> that students learn when they can see a route from their existing ‘real’ self towards a personal vision of an ideal self (</w:t>
      </w:r>
      <w:r w:rsidR="002C170D" w:rsidRPr="00CE3BAE">
        <w:t>Boyatzis</w:t>
      </w:r>
      <w:r w:rsidRPr="00CE3BAE">
        <w:t xml:space="preserve">, 2006). </w:t>
      </w:r>
      <w:r w:rsidR="00E15703" w:rsidRPr="00CE3BAE">
        <w:t xml:space="preserve"> </w:t>
      </w:r>
    </w:p>
    <w:p w14:paraId="1F8FFC72" w14:textId="77777777" w:rsidR="004514A4" w:rsidRPr="00CE3BAE" w:rsidRDefault="004514A4" w:rsidP="000C18B2">
      <w:pPr>
        <w:pStyle w:val="ListParagraph"/>
        <w:numPr>
          <w:ilvl w:val="0"/>
          <w:numId w:val="2"/>
        </w:numPr>
      </w:pPr>
      <w:r w:rsidRPr="00CE3BAE">
        <w:t>Bass and Riggio (2006) say that transformational leadership involves “inspiring followers to commit to a shared vision and goals”</w:t>
      </w:r>
      <w:r w:rsidR="008F5223" w:rsidRPr="00CE3BAE">
        <w:t>.</w:t>
      </w:r>
      <w:r w:rsidRPr="00CE3BAE">
        <w:t xml:space="preserve"> </w:t>
      </w:r>
    </w:p>
    <w:p w14:paraId="71D4533D" w14:textId="77777777" w:rsidR="006038F7" w:rsidRDefault="00696009" w:rsidP="000C18B2">
      <w:pPr>
        <w:pStyle w:val="ListParagraph"/>
        <w:numPr>
          <w:ilvl w:val="0"/>
          <w:numId w:val="2"/>
        </w:numPr>
      </w:pPr>
      <w:r>
        <w:t xml:space="preserve">Learning begins when students </w:t>
      </w:r>
      <w:r w:rsidRPr="00CE3BAE">
        <w:t>appreciate their own pre-conceptions and see they are different or in</w:t>
      </w:r>
      <w:r w:rsidR="00E15703" w:rsidRPr="00CE3BAE">
        <w:t>complete and so recognise an opportunity for growth</w:t>
      </w:r>
      <w:r w:rsidRPr="00CE3BAE">
        <w:t xml:space="preserve"> (Mezirow, 2000)</w:t>
      </w:r>
      <w:r w:rsidR="008F5223" w:rsidRPr="00CE3BAE">
        <w:t>.</w:t>
      </w:r>
      <w:r w:rsidR="008F5223">
        <w:t xml:space="preserve"> </w:t>
      </w:r>
    </w:p>
    <w:p w14:paraId="798A4358" w14:textId="77777777" w:rsidR="0082457B" w:rsidRPr="00696009" w:rsidRDefault="0082457B" w:rsidP="000C18B2">
      <w:pPr>
        <w:pStyle w:val="Heading2"/>
      </w:pPr>
      <w:r w:rsidRPr="00696009">
        <w:lastRenderedPageBreak/>
        <w:t>Teaching techniques</w:t>
      </w:r>
    </w:p>
    <w:p w14:paraId="48466E4B" w14:textId="77777777" w:rsidR="0082457B" w:rsidRDefault="0082457B" w:rsidP="000C18B2">
      <w:pPr>
        <w:pStyle w:val="ListParagraph"/>
        <w:numPr>
          <w:ilvl w:val="0"/>
          <w:numId w:val="2"/>
        </w:numPr>
      </w:pPr>
      <w:r>
        <w:t>Relinquish control to allow individual goal setting</w:t>
      </w:r>
      <w:r w:rsidR="00D93832">
        <w:t xml:space="preserve"> and student input into course design</w:t>
      </w:r>
      <w:r w:rsidR="00CF40F3">
        <w:t>.</w:t>
      </w:r>
    </w:p>
    <w:p w14:paraId="51021FAB" w14:textId="77777777" w:rsidR="0082457B" w:rsidRDefault="0082457B" w:rsidP="000C18B2">
      <w:pPr>
        <w:pStyle w:val="ListParagraph"/>
        <w:numPr>
          <w:ilvl w:val="0"/>
          <w:numId w:val="3"/>
        </w:numPr>
      </w:pPr>
      <w:r>
        <w:t>Inspire</w:t>
      </w:r>
      <w:r w:rsidR="00CF40F3">
        <w:t xml:space="preserve"> students </w:t>
      </w:r>
      <w:r w:rsidR="008F5223">
        <w:t xml:space="preserve">through guest-speaker sessions with </w:t>
      </w:r>
      <w:r w:rsidR="00CF40F3">
        <w:t>recent graduates.</w:t>
      </w:r>
    </w:p>
    <w:p w14:paraId="5985B697" w14:textId="77777777" w:rsidR="0082457B" w:rsidRDefault="00E35ED1" w:rsidP="000C18B2">
      <w:pPr>
        <w:pStyle w:val="ListParagraph"/>
        <w:numPr>
          <w:ilvl w:val="0"/>
          <w:numId w:val="3"/>
        </w:numPr>
      </w:pPr>
      <w:r>
        <w:t>Include</w:t>
      </w:r>
      <w:r w:rsidR="0082457B">
        <w:t xml:space="preserve"> pre</w:t>
      </w:r>
      <w:r w:rsidR="00696009">
        <w:t>-</w:t>
      </w:r>
      <w:r w:rsidR="00E15703">
        <w:t>ref</w:t>
      </w:r>
      <w:r w:rsidR="0082457B">
        <w:t>l</w:t>
      </w:r>
      <w:r w:rsidR="00E15703">
        <w:t>e</w:t>
      </w:r>
      <w:r w:rsidR="008F5223">
        <w:t>ction activities.</w:t>
      </w:r>
    </w:p>
    <w:p w14:paraId="79BAA607" w14:textId="77777777" w:rsidR="00E15703" w:rsidRDefault="00E15703" w:rsidP="000C18B2">
      <w:pPr>
        <w:pStyle w:val="ListParagraph"/>
        <w:numPr>
          <w:ilvl w:val="0"/>
          <w:numId w:val="3"/>
        </w:numPr>
      </w:pPr>
      <w:r>
        <w:t>Encourage discussion to expose variations and commonalities in aspirations</w:t>
      </w:r>
      <w:r w:rsidR="00CF40F3">
        <w:t>.</w:t>
      </w:r>
      <w:r>
        <w:t xml:space="preserve"> </w:t>
      </w:r>
    </w:p>
    <w:p w14:paraId="08805F52" w14:textId="77777777" w:rsidR="008F5223" w:rsidRDefault="008F5223" w:rsidP="000C18B2">
      <w:pPr>
        <w:pStyle w:val="ListParagraph"/>
        <w:numPr>
          <w:ilvl w:val="0"/>
          <w:numId w:val="3"/>
        </w:numPr>
      </w:pPr>
      <w:r>
        <w:t>Prompt students to create a vision.</w:t>
      </w:r>
    </w:p>
    <w:p w14:paraId="3FD57B2C" w14:textId="77777777" w:rsidR="00D25D1D" w:rsidRDefault="008F5223" w:rsidP="000C18B2">
      <w:pPr>
        <w:pStyle w:val="ListParagraph"/>
        <w:numPr>
          <w:ilvl w:val="0"/>
          <w:numId w:val="3"/>
        </w:numPr>
      </w:pPr>
      <w:r>
        <w:t>Encourage students to s</w:t>
      </w:r>
      <w:r w:rsidR="00D25D1D">
        <w:t>et goa</w:t>
      </w:r>
      <w:r w:rsidR="00CF40F3">
        <w:t xml:space="preserve">ls, identify development needs and </w:t>
      </w:r>
      <w:r w:rsidR="00D25D1D">
        <w:t>plan</w:t>
      </w:r>
      <w:r w:rsidR="00CF40F3">
        <w:t xml:space="preserve"> for achievement</w:t>
      </w:r>
      <w:r w:rsidR="00D25D1D">
        <w:t>.</w:t>
      </w:r>
    </w:p>
    <w:p w14:paraId="7BE30B2A" w14:textId="77777777" w:rsidR="00150DD8" w:rsidRDefault="00CF40F3" w:rsidP="000C18B2">
      <w:pPr>
        <w:pStyle w:val="ListParagraph"/>
        <w:numPr>
          <w:ilvl w:val="0"/>
          <w:numId w:val="3"/>
        </w:numPr>
      </w:pPr>
      <w:r>
        <w:t xml:space="preserve">Build </w:t>
      </w:r>
      <w:r w:rsidR="008F5223">
        <w:t xml:space="preserve">student </w:t>
      </w:r>
      <w:r>
        <w:t>confidence to</w:t>
      </w:r>
      <w:r w:rsidR="00D25D1D">
        <w:t xml:space="preserve"> reduce anxiety</w:t>
      </w:r>
      <w:r w:rsidR="00924C07">
        <w:t>.</w:t>
      </w:r>
    </w:p>
    <w:p w14:paraId="503055B3" w14:textId="77777777" w:rsidR="00E15703" w:rsidRPr="00924C07" w:rsidRDefault="00E15703" w:rsidP="000C18B2">
      <w:pPr>
        <w:pStyle w:val="Heading1"/>
      </w:pPr>
      <w:r w:rsidRPr="00924C07">
        <w:t>Explore</w:t>
      </w:r>
    </w:p>
    <w:p w14:paraId="69548F36" w14:textId="50DC1354" w:rsidR="00DB097E" w:rsidRDefault="005E692D" w:rsidP="000C18B2">
      <w:r>
        <w:t xml:space="preserve">Students are more likely to learn if they are given opportunities to explore </w:t>
      </w:r>
      <w:r w:rsidR="00E95A24">
        <w:t>new concepts</w:t>
      </w:r>
      <w:r w:rsidR="00351827">
        <w:t xml:space="preserve"> in meaningful ways</w:t>
      </w:r>
      <w:r>
        <w:t>.</w:t>
      </w:r>
      <w:r w:rsidR="00DB097E">
        <w:t xml:space="preserve"> </w:t>
      </w:r>
      <w:r w:rsidR="00E95A24">
        <w:t>The shift in learning mechanism is from hearing about new concepts to experiencing them and/or from listening to explanations to actively examining new ideas and personal thinking patterns</w:t>
      </w:r>
      <w:r w:rsidR="00A94DD2">
        <w:t xml:space="preserve"> or habits of mind</w:t>
      </w:r>
      <w:r w:rsidR="00E95A24">
        <w:t xml:space="preserve">. Much of this type of learning necessarily involves interacting with people or the environment. </w:t>
      </w:r>
      <w:r w:rsidR="003D63BA">
        <w:t xml:space="preserve">It is emotional, relevant and interesting rather than rational and abstract. Students need to develop insight into new concepts and their own intellects. </w:t>
      </w:r>
      <w:r w:rsidR="00DB097E">
        <w:t xml:space="preserve">This is </w:t>
      </w:r>
      <w:r w:rsidR="002C170D">
        <w:t xml:space="preserve">shown </w:t>
      </w:r>
      <w:r w:rsidR="00DB097E">
        <w:t>in the following theories:</w:t>
      </w:r>
    </w:p>
    <w:p w14:paraId="6C070CFD" w14:textId="77777777" w:rsidR="00D93832" w:rsidRPr="00CE3BAE" w:rsidRDefault="00D93832" w:rsidP="000C18B2">
      <w:pPr>
        <w:pStyle w:val="ListParagraph"/>
        <w:numPr>
          <w:ilvl w:val="0"/>
          <w:numId w:val="6"/>
        </w:numPr>
      </w:pPr>
      <w:r>
        <w:t>S</w:t>
      </w:r>
      <w:r w:rsidR="008F5223">
        <w:t xml:space="preserve">ocial constructivism suggests that learning takes place in socially situated contexts and through interactions with </w:t>
      </w:r>
      <w:r w:rsidR="008F5223" w:rsidRPr="00CE3BAE">
        <w:t>others (V</w:t>
      </w:r>
      <w:r w:rsidRPr="00CE3BAE">
        <w:t>ygotsky, 19</w:t>
      </w:r>
      <w:r w:rsidR="008F5223" w:rsidRPr="00CE3BAE">
        <w:t>78).</w:t>
      </w:r>
    </w:p>
    <w:p w14:paraId="658A4835" w14:textId="77777777" w:rsidR="00DB097E" w:rsidRPr="00CE3BAE" w:rsidRDefault="00DB097E" w:rsidP="000C18B2">
      <w:pPr>
        <w:pStyle w:val="ListParagraph"/>
        <w:numPr>
          <w:ilvl w:val="0"/>
          <w:numId w:val="4"/>
        </w:numPr>
      </w:pPr>
      <w:r w:rsidRPr="00CE3BAE">
        <w:t>Learners construct their own understanding and knowledge by experiencing things first hand</w:t>
      </w:r>
      <w:r w:rsidR="001231B2" w:rsidRPr="00CE3BAE">
        <w:t xml:space="preserve">. </w:t>
      </w:r>
      <w:r w:rsidRPr="00CE3BAE">
        <w:t>They actively create knowledge by relating new knowledge to their own ideas and experiences (</w:t>
      </w:r>
      <w:r w:rsidR="00A94DD2" w:rsidRPr="00CE3BAE">
        <w:t xml:space="preserve">Piaget, </w:t>
      </w:r>
      <w:r w:rsidR="00FB62D9" w:rsidRPr="00CE3BAE">
        <w:t>1967</w:t>
      </w:r>
      <w:r w:rsidRPr="00CE3BAE">
        <w:t>).</w:t>
      </w:r>
    </w:p>
    <w:p w14:paraId="050114AA" w14:textId="77777777" w:rsidR="00A94DD2" w:rsidRPr="00CE3BAE" w:rsidRDefault="00E95A24" w:rsidP="000C18B2">
      <w:pPr>
        <w:pStyle w:val="ListParagraph"/>
        <w:numPr>
          <w:ilvl w:val="0"/>
          <w:numId w:val="4"/>
        </w:numPr>
      </w:pPr>
      <w:r w:rsidRPr="00CE3BAE">
        <w:t>Social cognitive theory and transformative learning theory emphasises the need to cultivate learning and planning skills to meet goals (</w:t>
      </w:r>
      <w:r w:rsidR="00A94DD2" w:rsidRPr="00CE3BAE">
        <w:t>Mezirow, 2000</w:t>
      </w:r>
      <w:r w:rsidRPr="00CE3BAE">
        <w:t>).</w:t>
      </w:r>
    </w:p>
    <w:p w14:paraId="15827775" w14:textId="77777777" w:rsidR="00E95A24" w:rsidRPr="00CE3BAE" w:rsidRDefault="00A94DD2" w:rsidP="000C18B2">
      <w:pPr>
        <w:pStyle w:val="ListParagraph"/>
        <w:numPr>
          <w:ilvl w:val="0"/>
          <w:numId w:val="4"/>
        </w:numPr>
      </w:pPr>
      <w:r w:rsidRPr="00CE3BAE">
        <w:t>Student</w:t>
      </w:r>
      <w:r w:rsidR="00150DD8" w:rsidRPr="00CE3BAE">
        <w:t>s</w:t>
      </w:r>
      <w:r w:rsidRPr="00CE3BAE">
        <w:t xml:space="preserve"> learn by amending their ways of thinking and points of view (Cranton, 2006)</w:t>
      </w:r>
      <w:r w:rsidR="00150DD8" w:rsidRPr="00CE3BAE">
        <w:t>.</w:t>
      </w:r>
    </w:p>
    <w:p w14:paraId="492D71BC" w14:textId="77777777" w:rsidR="00A94DD2" w:rsidRPr="00CE3BAE" w:rsidRDefault="00A94DD2" w:rsidP="000C18B2">
      <w:pPr>
        <w:pStyle w:val="ListParagraph"/>
        <w:numPr>
          <w:ilvl w:val="0"/>
          <w:numId w:val="4"/>
        </w:numPr>
      </w:pPr>
      <w:r>
        <w:t xml:space="preserve">Intentional change theory </w:t>
      </w:r>
      <w:r w:rsidR="00DF172D">
        <w:t>advocates that students develop plans for lear</w:t>
      </w:r>
      <w:r w:rsidR="00DF172D" w:rsidRPr="00CE3BAE">
        <w:t xml:space="preserve">ning (Boyatzis and </w:t>
      </w:r>
      <w:r w:rsidR="00CE3BAE" w:rsidRPr="00CE3BAE">
        <w:t>Akrivou</w:t>
      </w:r>
      <w:r w:rsidR="00DF172D" w:rsidRPr="00CE3BAE">
        <w:t>, 2006) and social cognitive theory draws attention to the importance of self-initiated action (Bandura, 1986).</w:t>
      </w:r>
    </w:p>
    <w:p w14:paraId="6F7115E8" w14:textId="77777777" w:rsidR="00E95A24" w:rsidRPr="00CE3BAE" w:rsidRDefault="00D73154" w:rsidP="000C18B2">
      <w:pPr>
        <w:pStyle w:val="ListParagraph"/>
        <w:numPr>
          <w:ilvl w:val="0"/>
          <w:numId w:val="4"/>
        </w:numPr>
      </w:pPr>
      <w:r w:rsidRPr="00CE3BAE">
        <w:t>Learning is not a purely rational exercise, it involves feelings, intuitions, imaginations and is personal and social (Gabrove, 1997)</w:t>
      </w:r>
      <w:r w:rsidR="00150DD8" w:rsidRPr="00CE3BAE">
        <w:t>.</w:t>
      </w:r>
    </w:p>
    <w:p w14:paraId="6062529A" w14:textId="77777777" w:rsidR="006038F7" w:rsidRPr="00696009" w:rsidRDefault="006038F7" w:rsidP="000C18B2">
      <w:pPr>
        <w:pStyle w:val="Heading2"/>
      </w:pPr>
      <w:r w:rsidRPr="00696009">
        <w:t>Teaching techniques</w:t>
      </w:r>
    </w:p>
    <w:p w14:paraId="3707B862" w14:textId="77777777" w:rsidR="006038F7" w:rsidRDefault="006038F7" w:rsidP="000C18B2">
      <w:pPr>
        <w:pStyle w:val="ListParagraph"/>
        <w:numPr>
          <w:ilvl w:val="0"/>
          <w:numId w:val="3"/>
        </w:numPr>
      </w:pPr>
      <w:r>
        <w:t>Expose students to new ideas.</w:t>
      </w:r>
    </w:p>
    <w:p w14:paraId="3E396AA8" w14:textId="77777777" w:rsidR="00FB638A" w:rsidRDefault="006038F7" w:rsidP="000C18B2">
      <w:pPr>
        <w:pStyle w:val="ListParagraph"/>
        <w:numPr>
          <w:ilvl w:val="0"/>
          <w:numId w:val="3"/>
        </w:numPr>
      </w:pPr>
      <w:r>
        <w:t>Create opportunities for students to experience concepts first hand.</w:t>
      </w:r>
    </w:p>
    <w:p w14:paraId="3BBD8DD1" w14:textId="77777777" w:rsidR="00FB638A" w:rsidRDefault="00FB638A" w:rsidP="000C18B2">
      <w:pPr>
        <w:pStyle w:val="ListParagraph"/>
        <w:numPr>
          <w:ilvl w:val="0"/>
          <w:numId w:val="3"/>
        </w:numPr>
      </w:pPr>
      <w:r>
        <w:t>Encourage reflective thinking.</w:t>
      </w:r>
    </w:p>
    <w:p w14:paraId="71F65C25" w14:textId="77777777" w:rsidR="00FB638A" w:rsidRDefault="00FB638A" w:rsidP="000C18B2">
      <w:pPr>
        <w:pStyle w:val="ListParagraph"/>
        <w:numPr>
          <w:ilvl w:val="0"/>
          <w:numId w:val="3"/>
        </w:numPr>
      </w:pPr>
      <w:r>
        <w:t>Allow student input into activity and assessment design.</w:t>
      </w:r>
    </w:p>
    <w:p w14:paraId="1339F3C0" w14:textId="77777777" w:rsidR="00FB638A" w:rsidRDefault="00FB638A" w:rsidP="000C18B2">
      <w:pPr>
        <w:pStyle w:val="ListParagraph"/>
        <w:numPr>
          <w:ilvl w:val="0"/>
          <w:numId w:val="3"/>
        </w:numPr>
      </w:pPr>
      <w:r>
        <w:t>Include group and peer activities to expose students to diverse ideas.</w:t>
      </w:r>
    </w:p>
    <w:p w14:paraId="3148CD6A" w14:textId="77777777" w:rsidR="00C20444" w:rsidRDefault="00C20444" w:rsidP="000C18B2">
      <w:pPr>
        <w:pStyle w:val="ListParagraph"/>
        <w:numPr>
          <w:ilvl w:val="0"/>
          <w:numId w:val="3"/>
        </w:numPr>
      </w:pPr>
      <w:r>
        <w:t>Provide opportunities for students to relate theory to practice.</w:t>
      </w:r>
    </w:p>
    <w:p w14:paraId="50FD2BFB" w14:textId="77777777" w:rsidR="00E95A24" w:rsidRDefault="00E95A24" w:rsidP="000C18B2">
      <w:pPr>
        <w:pStyle w:val="ListParagraph"/>
        <w:numPr>
          <w:ilvl w:val="0"/>
          <w:numId w:val="3"/>
        </w:numPr>
      </w:pPr>
      <w:r>
        <w:t>Provide opportunities to reflect on thinking and values and how they can be changed.</w:t>
      </w:r>
    </w:p>
    <w:p w14:paraId="1B8D192C" w14:textId="77777777" w:rsidR="00E95A24" w:rsidRDefault="00150DD8" w:rsidP="000C18B2">
      <w:pPr>
        <w:pStyle w:val="ListParagraph"/>
        <w:numPr>
          <w:ilvl w:val="0"/>
          <w:numId w:val="3"/>
        </w:numPr>
      </w:pPr>
      <w:r>
        <w:t>Provide opportunities for s</w:t>
      </w:r>
      <w:r w:rsidR="00E95A24">
        <w:t xml:space="preserve">tudents </w:t>
      </w:r>
      <w:r>
        <w:t xml:space="preserve">to </w:t>
      </w:r>
      <w:r w:rsidR="00E95A24">
        <w:t>plan their own learning and identify mental or physical resources they need in order to learn</w:t>
      </w:r>
      <w:r w:rsidR="00E84498">
        <w:t>.</w:t>
      </w:r>
      <w:r w:rsidR="00E95A24">
        <w:t xml:space="preserve"> </w:t>
      </w:r>
    </w:p>
    <w:p w14:paraId="0F0B706C" w14:textId="77777777" w:rsidR="00DF172D" w:rsidRDefault="00DF172D" w:rsidP="000C18B2">
      <w:pPr>
        <w:pStyle w:val="ListParagraph"/>
        <w:numPr>
          <w:ilvl w:val="0"/>
          <w:numId w:val="3"/>
        </w:numPr>
      </w:pPr>
      <w:r>
        <w:t>Provide time for students to work at their own pace</w:t>
      </w:r>
      <w:r w:rsidR="00E84498">
        <w:t>.</w:t>
      </w:r>
    </w:p>
    <w:p w14:paraId="44E4A4FE" w14:textId="77777777" w:rsidR="00DF172D" w:rsidRDefault="00150DD8" w:rsidP="000C18B2">
      <w:pPr>
        <w:pStyle w:val="ListParagraph"/>
        <w:numPr>
          <w:ilvl w:val="0"/>
          <w:numId w:val="3"/>
        </w:numPr>
      </w:pPr>
      <w:r>
        <w:t xml:space="preserve">Encourage students to explicitly consider </w:t>
      </w:r>
      <w:r w:rsidR="00DF172D">
        <w:t>how learning will come about and what actions will facilitate it</w:t>
      </w:r>
      <w:r w:rsidR="00E84498">
        <w:t>.</w:t>
      </w:r>
    </w:p>
    <w:p w14:paraId="129A823D" w14:textId="77777777" w:rsidR="00924C07" w:rsidRDefault="00150DD8" w:rsidP="000C18B2">
      <w:pPr>
        <w:pStyle w:val="ListParagraph"/>
        <w:numPr>
          <w:ilvl w:val="0"/>
          <w:numId w:val="3"/>
        </w:numPr>
      </w:pPr>
      <w:r>
        <w:t>Encourage p</w:t>
      </w:r>
      <w:r w:rsidR="00DF172D">
        <w:t xml:space="preserve">eer to peer teaching and accounts of learning process – lecturers have often automated and rendered to the unconscious elements that students must consciously attend to. </w:t>
      </w:r>
    </w:p>
    <w:p w14:paraId="4C830918" w14:textId="77777777" w:rsidR="00123951" w:rsidRPr="000C18B2" w:rsidRDefault="00E84498" w:rsidP="000C18B2">
      <w:pPr>
        <w:pStyle w:val="Heading1"/>
      </w:pPr>
      <w:r w:rsidRPr="000C18B2">
        <w:t>Extend</w:t>
      </w:r>
    </w:p>
    <w:p w14:paraId="5A00BAA1" w14:textId="77777777" w:rsidR="005E692D" w:rsidRDefault="003D63BA" w:rsidP="000C18B2">
      <w:r>
        <w:t>Having acquired initial concepts, s</w:t>
      </w:r>
      <w:r w:rsidR="005E692D">
        <w:t xml:space="preserve">tudents are more </w:t>
      </w:r>
      <w:r w:rsidR="00DC3544">
        <w:t>able</w:t>
      </w:r>
      <w:r w:rsidR="006A53BA">
        <w:t xml:space="preserve"> to learn</w:t>
      </w:r>
      <w:r w:rsidR="005E692D">
        <w:t xml:space="preserve"> </w:t>
      </w:r>
      <w:r w:rsidR="00DC3544">
        <w:t xml:space="preserve">and achieve a high level of mastery </w:t>
      </w:r>
      <w:r w:rsidR="00FB638A">
        <w:t xml:space="preserve">if they are given </w:t>
      </w:r>
      <w:r>
        <w:t xml:space="preserve">multiple </w:t>
      </w:r>
      <w:r w:rsidR="00FB638A">
        <w:t xml:space="preserve">opportunities to extend </w:t>
      </w:r>
      <w:r w:rsidR="00DC3544">
        <w:t xml:space="preserve">and challenge </w:t>
      </w:r>
      <w:r w:rsidR="00FB638A">
        <w:t>their</w:t>
      </w:r>
      <w:r w:rsidR="001A231B">
        <w:t xml:space="preserve"> values, </w:t>
      </w:r>
      <w:r w:rsidR="00DC3544">
        <w:t>ideas</w:t>
      </w:r>
      <w:r w:rsidR="00FB638A">
        <w:t xml:space="preserve"> </w:t>
      </w:r>
      <w:r w:rsidR="001A231B">
        <w:t xml:space="preserve">and skills </w:t>
      </w:r>
      <w:r w:rsidR="00FB638A">
        <w:t xml:space="preserve">in </w:t>
      </w:r>
      <w:r w:rsidR="00DC3544">
        <w:t xml:space="preserve">social, </w:t>
      </w:r>
      <w:r w:rsidR="00FB638A">
        <w:t xml:space="preserve">authentic, relevant and meaningful contexts. </w:t>
      </w:r>
      <w:r w:rsidR="00DF172D">
        <w:t xml:space="preserve"> Acquiring new skills and mind sets </w:t>
      </w:r>
      <w:r w:rsidR="001A231B">
        <w:t xml:space="preserve">that can be applied appropriately </w:t>
      </w:r>
      <w:r w:rsidR="00DF172D">
        <w:t>require</w:t>
      </w:r>
      <w:r w:rsidR="001A231B">
        <w:t xml:space="preserve">s </w:t>
      </w:r>
      <w:r w:rsidR="00DF172D">
        <w:t xml:space="preserve">extensive practice </w:t>
      </w:r>
      <w:r w:rsidR="001A231B">
        <w:t>and takes time</w:t>
      </w:r>
      <w:r w:rsidR="00BB4FC8">
        <w:t>,</w:t>
      </w:r>
      <w:r w:rsidR="001A231B">
        <w:t xml:space="preserve"> and is facilitated by reflective thinking</w:t>
      </w:r>
      <w:r w:rsidR="00DF172D">
        <w:t>.</w:t>
      </w:r>
      <w:r w:rsidR="005218A4">
        <w:t xml:space="preserve"> A wide variety of application opportunities </w:t>
      </w:r>
      <w:r w:rsidR="00160FBC">
        <w:t xml:space="preserve">and the development of reflective practices is thought </w:t>
      </w:r>
      <w:r w:rsidR="005218A4">
        <w:t xml:space="preserve">not only </w:t>
      </w:r>
      <w:r w:rsidR="00160FBC">
        <w:t xml:space="preserve">to </w:t>
      </w:r>
      <w:r w:rsidR="00E84498">
        <w:t>increase</w:t>
      </w:r>
      <w:r w:rsidR="005218A4">
        <w:t xml:space="preserve"> </w:t>
      </w:r>
      <w:r w:rsidR="00160FBC">
        <w:t>ability but also the likeli</w:t>
      </w:r>
      <w:r w:rsidR="005218A4">
        <w:t>hood of transfer of the skill in future courses or the workplace</w:t>
      </w:r>
      <w:r w:rsidR="00E84498">
        <w:t xml:space="preserve">. </w:t>
      </w:r>
      <w:r w:rsidR="00FB638A">
        <w:t>This is demonstrated in the following theories:</w:t>
      </w:r>
    </w:p>
    <w:p w14:paraId="69049551" w14:textId="77777777" w:rsidR="00EB1CAB" w:rsidRPr="00CE3BAE" w:rsidRDefault="008B262E" w:rsidP="000C18B2">
      <w:pPr>
        <w:pStyle w:val="ListParagraph"/>
        <w:numPr>
          <w:ilvl w:val="0"/>
          <w:numId w:val="5"/>
        </w:numPr>
      </w:pPr>
      <w:r>
        <w:t>Capabilities are developed and extended when students are given opportunities to</w:t>
      </w:r>
      <w:r w:rsidR="00EB1CAB">
        <w:t xml:space="preserve"> </w:t>
      </w:r>
      <w:r w:rsidR="00EB1CAB" w:rsidRPr="00CE3BAE">
        <w:t xml:space="preserve">remember and </w:t>
      </w:r>
      <w:r w:rsidRPr="00CE3BAE">
        <w:t>apply skills and knowledge to multiple contexts (</w:t>
      </w:r>
      <w:r w:rsidR="00EB1CAB" w:rsidRPr="00CE3BAE">
        <w:t>Rittle-Johnson, Star and Durkin, 2009</w:t>
      </w:r>
      <w:r w:rsidRPr="00CE3BAE">
        <w:t>).</w:t>
      </w:r>
    </w:p>
    <w:p w14:paraId="6FE134AA" w14:textId="77777777" w:rsidR="008B262E" w:rsidRPr="00CE3BAE" w:rsidRDefault="00BB1719" w:rsidP="000C18B2">
      <w:pPr>
        <w:pStyle w:val="ListParagraph"/>
        <w:numPr>
          <w:ilvl w:val="0"/>
          <w:numId w:val="5"/>
        </w:numPr>
      </w:pPr>
      <w:r w:rsidRPr="00CE3BAE">
        <w:t>Self-efficacy and self-directed learning</w:t>
      </w:r>
      <w:r w:rsidR="00880C09" w:rsidRPr="00CE3BAE">
        <w:t xml:space="preserve"> skills are </w:t>
      </w:r>
      <w:r w:rsidRPr="00CE3BAE">
        <w:t xml:space="preserve">developed when students are given opportunities to reflect on their </w:t>
      </w:r>
      <w:r w:rsidR="00EB1CAB" w:rsidRPr="00CE3BAE">
        <w:t xml:space="preserve">ability and </w:t>
      </w:r>
      <w:r w:rsidR="00D73154" w:rsidRPr="00CE3BAE">
        <w:t xml:space="preserve">performance </w:t>
      </w:r>
      <w:r w:rsidRPr="00CE3BAE">
        <w:t>(</w:t>
      </w:r>
      <w:r w:rsidR="00EB1CAB" w:rsidRPr="00CE3BAE">
        <w:t>Cranton, 2002</w:t>
      </w:r>
      <w:r w:rsidRPr="00CE3BAE">
        <w:t>).</w:t>
      </w:r>
    </w:p>
    <w:p w14:paraId="2DAE61B5" w14:textId="77777777" w:rsidR="00EB1CAB" w:rsidRPr="00CE3BAE" w:rsidRDefault="00E35ED1" w:rsidP="000C18B2">
      <w:pPr>
        <w:pStyle w:val="ListParagraph"/>
        <w:numPr>
          <w:ilvl w:val="0"/>
          <w:numId w:val="5"/>
        </w:numPr>
      </w:pPr>
      <w:r w:rsidRPr="00CE3BAE">
        <w:t>Transformational learning occurs when perceptions are challenged and students are given opportunities to imagine</w:t>
      </w:r>
      <w:r w:rsidR="00866C13" w:rsidRPr="00CE3BAE">
        <w:t xml:space="preserve">, </w:t>
      </w:r>
      <w:r w:rsidRPr="00CE3BAE">
        <w:t xml:space="preserve">create </w:t>
      </w:r>
      <w:r w:rsidR="00866C13" w:rsidRPr="00CE3BAE">
        <w:t xml:space="preserve">and successfully navigate </w:t>
      </w:r>
      <w:r w:rsidRPr="00CE3BAE">
        <w:t>new possibilities (</w:t>
      </w:r>
      <w:r w:rsidR="00CA2EEC" w:rsidRPr="00CE3BAE">
        <w:t>Taylor, 200</w:t>
      </w:r>
      <w:r w:rsidR="00FB62D9" w:rsidRPr="00CE3BAE">
        <w:t>0</w:t>
      </w:r>
      <w:r w:rsidR="00EB1CAB" w:rsidRPr="00CE3BAE">
        <w:t>)</w:t>
      </w:r>
      <w:r w:rsidR="00E84498" w:rsidRPr="00CE3BAE">
        <w:t>.</w:t>
      </w:r>
    </w:p>
    <w:p w14:paraId="15E731A7" w14:textId="77777777" w:rsidR="007F3E7A" w:rsidRPr="00CE3BAE" w:rsidRDefault="007F3E7A" w:rsidP="000C18B2">
      <w:pPr>
        <w:pStyle w:val="ListParagraph"/>
        <w:numPr>
          <w:ilvl w:val="0"/>
          <w:numId w:val="5"/>
        </w:numPr>
      </w:pPr>
      <w:r w:rsidRPr="00CE3BAE">
        <w:t>Taylor (2000) found that the key ingredient most common in the process of transformational learning w</w:t>
      </w:r>
      <w:r w:rsidR="00E84498" w:rsidRPr="00CE3BAE">
        <w:t xml:space="preserve">as the context of relationships </w:t>
      </w:r>
      <w:r w:rsidR="00150DD8" w:rsidRPr="00CE3BAE">
        <w:t xml:space="preserve">(Imel, </w:t>
      </w:r>
      <w:r w:rsidR="00E84498" w:rsidRPr="00CE3BAE">
        <w:t>1998).</w:t>
      </w:r>
    </w:p>
    <w:p w14:paraId="61687F6D" w14:textId="77777777" w:rsidR="001A231B" w:rsidRPr="00CE3BAE" w:rsidRDefault="001A231B" w:rsidP="000C18B2">
      <w:pPr>
        <w:pStyle w:val="ListParagraph"/>
        <w:numPr>
          <w:ilvl w:val="0"/>
          <w:numId w:val="5"/>
        </w:numPr>
      </w:pPr>
      <w:r w:rsidRPr="00CE3BAE">
        <w:t>Sustained engagement determines intellectual development (Dweck, 2006)</w:t>
      </w:r>
      <w:r w:rsidR="00E84498" w:rsidRPr="00CE3BAE">
        <w:t>.</w:t>
      </w:r>
    </w:p>
    <w:p w14:paraId="00ED5570" w14:textId="77777777" w:rsidR="001A231B" w:rsidRPr="00CE3BAE" w:rsidRDefault="00150DD8" w:rsidP="000C18B2">
      <w:pPr>
        <w:pStyle w:val="ListParagraph"/>
        <w:numPr>
          <w:ilvl w:val="0"/>
          <w:numId w:val="5"/>
        </w:numPr>
      </w:pPr>
      <w:r w:rsidRPr="00CE3BAE">
        <w:t>Students’</w:t>
      </w:r>
      <w:r w:rsidR="001A231B" w:rsidRPr="00CE3BAE">
        <w:t xml:space="preserve"> metacognitive skills and persistence can be enhanced by explicit encouragement and chal</w:t>
      </w:r>
      <w:r w:rsidR="00CE3BAE">
        <w:t>lenge (Dahlgren &amp; Chiriac</w:t>
      </w:r>
      <w:r w:rsidR="001A231B" w:rsidRPr="00CE3BAE">
        <w:t xml:space="preserve">, </w:t>
      </w:r>
      <w:r w:rsidR="00FB62D9" w:rsidRPr="00CE3BAE">
        <w:t>2009</w:t>
      </w:r>
      <w:r w:rsidR="001A231B" w:rsidRPr="00CE3BAE">
        <w:t>)</w:t>
      </w:r>
      <w:r w:rsidR="00E84498" w:rsidRPr="00CE3BAE">
        <w:t>.</w:t>
      </w:r>
    </w:p>
    <w:p w14:paraId="2BF35F30" w14:textId="77777777" w:rsidR="001A231B" w:rsidRPr="00CE3BAE" w:rsidRDefault="001A231B" w:rsidP="000C18B2">
      <w:pPr>
        <w:pStyle w:val="ListParagraph"/>
        <w:numPr>
          <w:ilvl w:val="0"/>
          <w:numId w:val="5"/>
        </w:numPr>
      </w:pPr>
      <w:r w:rsidRPr="00CE3BAE">
        <w:t xml:space="preserve">Only by encountering </w:t>
      </w:r>
      <w:r w:rsidR="007F3E7A" w:rsidRPr="00CE3BAE">
        <w:t>concepts in multiple guises can students identify the critical dimensions of difference (Marton, 1981)</w:t>
      </w:r>
      <w:r w:rsidR="00E84498" w:rsidRPr="00CE3BAE">
        <w:t>.</w:t>
      </w:r>
    </w:p>
    <w:p w14:paraId="32978271" w14:textId="77777777" w:rsidR="005218A4" w:rsidRPr="00CE3BAE" w:rsidRDefault="005218A4" w:rsidP="000C18B2">
      <w:pPr>
        <w:pStyle w:val="ListParagraph"/>
        <w:numPr>
          <w:ilvl w:val="0"/>
          <w:numId w:val="5"/>
        </w:numPr>
      </w:pPr>
      <w:r w:rsidRPr="00CE3BAE">
        <w:t xml:space="preserve">Learners </w:t>
      </w:r>
      <w:r w:rsidR="00EB1CAB" w:rsidRPr="00CE3BAE">
        <w:t>are</w:t>
      </w:r>
      <w:r w:rsidRPr="00CE3BAE">
        <w:t xml:space="preserve"> more likely to apply a concept or skill in a new context if the</w:t>
      </w:r>
      <w:r w:rsidR="00EB1CAB" w:rsidRPr="00CE3BAE">
        <w:t>y hav</w:t>
      </w:r>
      <w:r w:rsidRPr="00CE3BAE">
        <w:t>e</w:t>
      </w:r>
      <w:r w:rsidR="00EB1CAB" w:rsidRPr="00CE3BAE">
        <w:t xml:space="preserve"> </w:t>
      </w:r>
      <w:r w:rsidR="00CA2EEC" w:rsidRPr="00CE3BAE">
        <w:t>previously</w:t>
      </w:r>
      <w:r w:rsidRPr="00CE3BAE">
        <w:t xml:space="preserve"> encountered a superficially and structurally similar context (Gentner, 1983)</w:t>
      </w:r>
      <w:r w:rsidR="00E84498" w:rsidRPr="00CE3BAE">
        <w:t>.</w:t>
      </w:r>
    </w:p>
    <w:p w14:paraId="7973EB66" w14:textId="77777777" w:rsidR="00123951" w:rsidRPr="00CE3BAE" w:rsidRDefault="005218A4" w:rsidP="000C18B2">
      <w:pPr>
        <w:pStyle w:val="ListParagraph"/>
        <w:numPr>
          <w:ilvl w:val="0"/>
          <w:numId w:val="5"/>
        </w:numPr>
      </w:pPr>
      <w:r w:rsidRPr="00CE3BAE">
        <w:t xml:space="preserve">Explicitly anticipating transfer opportunities and drawing attention to structural relations and distinguishing them from contextual or situational variants </w:t>
      </w:r>
      <w:r w:rsidR="008E08C0" w:rsidRPr="00CE3BAE">
        <w:t>facilitates transfer (</w:t>
      </w:r>
      <w:r w:rsidR="008E08C0" w:rsidRPr="00CE3BAE">
        <w:rPr>
          <w:rFonts w:cs="Open Sans"/>
          <w:lang w:val="en"/>
        </w:rPr>
        <w:t xml:space="preserve">Garner, Gillingham, &amp; White, </w:t>
      </w:r>
      <w:hyperlink r:id="rId7" w:history="1">
        <w:r w:rsidR="008E08C0" w:rsidRPr="00CE3BAE">
          <w:rPr>
            <w:rFonts w:cs="Open Sans"/>
            <w:lang w:val="en"/>
          </w:rPr>
          <w:t>1989</w:t>
        </w:r>
      </w:hyperlink>
      <w:r w:rsidR="008E08C0" w:rsidRPr="00CE3BAE">
        <w:rPr>
          <w:rFonts w:cs="Open Sans"/>
          <w:lang w:val="en"/>
        </w:rPr>
        <w:t>)</w:t>
      </w:r>
      <w:r w:rsidR="00E84498" w:rsidRPr="00CE3BAE">
        <w:rPr>
          <w:rFonts w:cs="Open Sans"/>
          <w:lang w:val="en"/>
        </w:rPr>
        <w:t>.</w:t>
      </w:r>
    </w:p>
    <w:p w14:paraId="6F1A8F0B" w14:textId="77777777" w:rsidR="00FB638A" w:rsidRPr="00CE3BAE" w:rsidRDefault="00FB638A" w:rsidP="00CE3BAE">
      <w:pPr>
        <w:pStyle w:val="Heading3"/>
      </w:pPr>
      <w:r w:rsidRPr="00CE3BAE">
        <w:t>Teaching techniques</w:t>
      </w:r>
    </w:p>
    <w:p w14:paraId="68EE7947" w14:textId="77777777" w:rsidR="008B262E" w:rsidRDefault="008B262E" w:rsidP="000C18B2">
      <w:pPr>
        <w:pStyle w:val="ListParagraph"/>
        <w:numPr>
          <w:ilvl w:val="0"/>
          <w:numId w:val="7"/>
        </w:numPr>
      </w:pPr>
      <w:r>
        <w:t xml:space="preserve">Provide opportunities for students to share their experiences and how these relate to content. </w:t>
      </w:r>
    </w:p>
    <w:p w14:paraId="1FAF825F" w14:textId="77777777" w:rsidR="00FB06C1" w:rsidRDefault="00FB06C1" w:rsidP="000C18B2">
      <w:pPr>
        <w:pStyle w:val="ListParagraph"/>
        <w:numPr>
          <w:ilvl w:val="0"/>
          <w:numId w:val="7"/>
        </w:numPr>
      </w:pPr>
      <w:r>
        <w:t xml:space="preserve">Include </w:t>
      </w:r>
      <w:r w:rsidR="00BE4281">
        <w:t>industry representative</w:t>
      </w:r>
      <w:r w:rsidR="00BB4FC8">
        <w:t>s</w:t>
      </w:r>
      <w:r w:rsidR="00BE4281">
        <w:t xml:space="preserve"> not as speakers to talk about industry but as demonstrators, collaborators, commentators or challengers</w:t>
      </w:r>
      <w:r>
        <w:t>.</w:t>
      </w:r>
      <w:r w:rsidR="00BE4281">
        <w:t xml:space="preserve"> Let students witness how they think and work</w:t>
      </w:r>
      <w:r w:rsidR="00E84498">
        <w:t>.</w:t>
      </w:r>
    </w:p>
    <w:p w14:paraId="2B29275E" w14:textId="77777777" w:rsidR="008B262E" w:rsidRDefault="008B262E" w:rsidP="000C18B2">
      <w:pPr>
        <w:pStyle w:val="ListParagraph"/>
        <w:numPr>
          <w:ilvl w:val="0"/>
          <w:numId w:val="7"/>
        </w:numPr>
      </w:pPr>
      <w:r>
        <w:t>Scaffold the complexity of learning activities and assessments to challenge students.</w:t>
      </w:r>
    </w:p>
    <w:p w14:paraId="64D8051B" w14:textId="77777777" w:rsidR="008B262E" w:rsidRDefault="008B262E" w:rsidP="000C18B2">
      <w:pPr>
        <w:pStyle w:val="ListParagraph"/>
        <w:numPr>
          <w:ilvl w:val="0"/>
          <w:numId w:val="7"/>
        </w:numPr>
      </w:pPr>
      <w:r>
        <w:t>Expose students to diverse points of view.</w:t>
      </w:r>
    </w:p>
    <w:p w14:paraId="4E48D358" w14:textId="77777777" w:rsidR="008B262E" w:rsidRDefault="008B262E" w:rsidP="000C18B2">
      <w:pPr>
        <w:pStyle w:val="ListParagraph"/>
        <w:numPr>
          <w:ilvl w:val="0"/>
          <w:numId w:val="7"/>
        </w:numPr>
      </w:pPr>
      <w:r>
        <w:t xml:space="preserve">Encourage reflective thinking and create opportunities for students to challenge existing assumptions. </w:t>
      </w:r>
    </w:p>
    <w:p w14:paraId="5AE0BE72" w14:textId="77777777" w:rsidR="00D73154" w:rsidRDefault="00D73154" w:rsidP="000C18B2">
      <w:pPr>
        <w:pStyle w:val="ListParagraph"/>
        <w:numPr>
          <w:ilvl w:val="0"/>
          <w:numId w:val="7"/>
        </w:numPr>
      </w:pPr>
      <w:r>
        <w:t>See yourself as a provocateur or facilitator not as a traditional teacher</w:t>
      </w:r>
      <w:r w:rsidR="00E84498">
        <w:t>.</w:t>
      </w:r>
    </w:p>
    <w:p w14:paraId="7AF6EF55" w14:textId="77777777" w:rsidR="00FB638A" w:rsidRDefault="00CA2EEC" w:rsidP="000C18B2">
      <w:pPr>
        <w:pStyle w:val="ListParagraph"/>
        <w:numPr>
          <w:ilvl w:val="0"/>
          <w:numId w:val="7"/>
        </w:numPr>
      </w:pPr>
      <w:r>
        <w:t>Encourage critical discourse – set up debates, dilemmas, role plays.</w:t>
      </w:r>
    </w:p>
    <w:p w14:paraId="6E487A80" w14:textId="77777777" w:rsidR="00123951" w:rsidRPr="00034DB0" w:rsidRDefault="00123951" w:rsidP="000C18B2">
      <w:pPr>
        <w:pStyle w:val="Heading1"/>
      </w:pPr>
      <w:r>
        <w:t>Exhibit</w:t>
      </w:r>
    </w:p>
    <w:p w14:paraId="6D906C9E" w14:textId="77777777" w:rsidR="00CE3BAE" w:rsidRDefault="00CE3BAE" w:rsidP="00CE3BAE">
      <w:r>
        <w:t xml:space="preserve">In transformational learning the learner’s own judgement often defines the success or otherwise of an experience and the learning invariably relates to something personally meaningful.  Contemporary policy approaches emphasise the need for formative guidance to learning from assessment systems. Formative assessment places emphasis on recognising and celebrating enhanced capability or insights as well as providing guidance for further improvement. Learner self-evaluations and peer-to-peer assessments of learning, current performance, and likely next steps are a valuable component of an enhanced assessment scheme. </w:t>
      </w:r>
    </w:p>
    <w:p w14:paraId="58A3EDCC" w14:textId="5C20A2DF" w:rsidR="00CE3BAE" w:rsidRDefault="00CE3BAE" w:rsidP="00CE3BAE">
      <w:r>
        <w:t>While little is written about robust assessment practices in relation to transformational teaching, there is a large body of research and knowledge about formative and alternative assessment methods (Brown, 2018; Brown &amp; Harris, 2016). Feedback needs to happen early enough to inform further learning and needs to be quality assured so that it guides learners appropriately. Assessments that focus on quality of learning, rather than the amount of learning, require systematic processes to ensure that the judgments that inform feedback and grades are robust. Evaluation of employability learning requires the development of a community of expertise among tutors, lecturers, PTFs, TAs, and professors as to what employability looks like within a discipline, how it develops, and how distinctions in quality can be made.</w:t>
      </w:r>
    </w:p>
    <w:p w14:paraId="23E68374" w14:textId="6B151A81" w:rsidR="00495924" w:rsidRDefault="00DC3544" w:rsidP="000C18B2">
      <w:r>
        <w:t>A</w:t>
      </w:r>
      <w:r w:rsidR="00A657CA">
        <w:t xml:space="preserve">ssessments </w:t>
      </w:r>
      <w:r>
        <w:t xml:space="preserve">with predictive validity </w:t>
      </w:r>
      <w:r w:rsidR="00A657CA">
        <w:t xml:space="preserve">are likely to involve students executing tasks that share features of </w:t>
      </w:r>
      <w:r>
        <w:t>roles</w:t>
      </w:r>
      <w:r w:rsidR="00A657CA">
        <w:t xml:space="preserve"> they are likely to encounter as citizens and in the </w:t>
      </w:r>
      <w:r w:rsidR="00D338A9">
        <w:t xml:space="preserve">workplace. Real world authentic problems are often ill-defined, </w:t>
      </w:r>
      <w:r>
        <w:t>complex and require the deployment of complex skills in concert</w:t>
      </w:r>
      <w:r w:rsidR="004E380E">
        <w:t>; therefore,</w:t>
      </w:r>
      <w:r w:rsidR="00160FBC">
        <w:t xml:space="preserve"> within reason</w:t>
      </w:r>
      <w:r w:rsidR="00E84498">
        <w:t>,</w:t>
      </w:r>
      <w:r w:rsidR="00160FBC">
        <w:t xml:space="preserve"> authentic assessments should be similarly challenging</w:t>
      </w:r>
      <w:r>
        <w:t>.</w:t>
      </w:r>
      <w:r w:rsidR="00E84498">
        <w:t xml:space="preserve"> </w:t>
      </w:r>
      <w:r w:rsidR="00C20444">
        <w:t xml:space="preserve">This is demonstrated </w:t>
      </w:r>
      <w:r w:rsidR="00880C09">
        <w:t>in</w:t>
      </w:r>
      <w:r w:rsidR="00C20444">
        <w:t xml:space="preserve"> the following theories:</w:t>
      </w:r>
    </w:p>
    <w:p w14:paraId="5D4DB289" w14:textId="77777777" w:rsidR="00EB1CAB" w:rsidRPr="00CE3BAE" w:rsidRDefault="00EB1CAB" w:rsidP="000C18B2">
      <w:pPr>
        <w:pStyle w:val="ListParagraph"/>
        <w:numPr>
          <w:ilvl w:val="0"/>
          <w:numId w:val="7"/>
        </w:numPr>
      </w:pPr>
      <w:r>
        <w:t xml:space="preserve">Near transfer is much </w:t>
      </w:r>
      <w:r w:rsidRPr="00CE3BAE">
        <w:t>more likely to be</w:t>
      </w:r>
      <w:r w:rsidR="00E84498" w:rsidRPr="00CE3BAE">
        <w:t xml:space="preserve"> successful than </w:t>
      </w:r>
      <w:r w:rsidR="00D73154" w:rsidRPr="00CE3BAE">
        <w:t>far transfer (S</w:t>
      </w:r>
      <w:r w:rsidRPr="00CE3BAE">
        <w:t>ingley and Anderson, 1989)</w:t>
      </w:r>
      <w:r w:rsidR="00E84498" w:rsidRPr="00CE3BAE">
        <w:t>.</w:t>
      </w:r>
    </w:p>
    <w:p w14:paraId="08C710DB" w14:textId="77777777" w:rsidR="00387086" w:rsidRPr="00CE3BAE" w:rsidRDefault="00387086" w:rsidP="000C18B2">
      <w:pPr>
        <w:pStyle w:val="ListParagraph"/>
        <w:numPr>
          <w:ilvl w:val="0"/>
          <w:numId w:val="7"/>
        </w:numPr>
      </w:pPr>
      <w:r w:rsidRPr="00CE3BAE">
        <w:t xml:space="preserve">Social cognitive theory suggests that learners </w:t>
      </w:r>
      <w:r w:rsidR="006A53BA" w:rsidRPr="00CE3BAE">
        <w:t>are motivated when learning</w:t>
      </w:r>
      <w:r w:rsidRPr="00CE3BAE">
        <w:t xml:space="preserve"> activities are relevant to their</w:t>
      </w:r>
      <w:r w:rsidR="00866C13" w:rsidRPr="00CE3BAE">
        <w:t xml:space="preserve"> goals and feedback is similarly authentic</w:t>
      </w:r>
      <w:r w:rsidRPr="00CE3BAE">
        <w:t xml:space="preserve"> (</w:t>
      </w:r>
      <w:r w:rsidR="00866C13" w:rsidRPr="00CE3BAE">
        <w:t>Bandura, 1997</w:t>
      </w:r>
      <w:r w:rsidRPr="00CE3BAE">
        <w:t>).</w:t>
      </w:r>
    </w:p>
    <w:p w14:paraId="57DE684A" w14:textId="77777777" w:rsidR="00387086" w:rsidRPr="00CE3BAE" w:rsidRDefault="006A53BA" w:rsidP="000C18B2">
      <w:pPr>
        <w:pStyle w:val="ListParagraph"/>
        <w:numPr>
          <w:ilvl w:val="0"/>
          <w:numId w:val="7"/>
        </w:numPr>
      </w:pPr>
      <w:r w:rsidRPr="00CE3BAE">
        <w:t>Transformational learning occurs when learners practice their new roles</w:t>
      </w:r>
      <w:r w:rsidR="00CA2EEC" w:rsidRPr="00CE3BAE">
        <w:t xml:space="preserve"> or new perspectives</w:t>
      </w:r>
      <w:r w:rsidRPr="00CE3BAE">
        <w:t xml:space="preserve"> to develop competence and self-confidence (</w:t>
      </w:r>
      <w:r w:rsidR="00FB62D9" w:rsidRPr="00CE3BAE">
        <w:t>Meyer, Land &amp; Baillie, 2010</w:t>
      </w:r>
      <w:r w:rsidRPr="00CE3BAE">
        <w:t>).</w:t>
      </w:r>
    </w:p>
    <w:p w14:paraId="0A53CAB5" w14:textId="77777777" w:rsidR="00EB1CAB" w:rsidRDefault="00D73154" w:rsidP="000C18B2">
      <w:r w:rsidRPr="00CE3BAE">
        <w:t>Several authors point to the importance of agency. Having students produce authentic artefacts to their own design provides students with opportunities for self-direction and control they need (</w:t>
      </w:r>
      <w:r w:rsidR="00752F8A" w:rsidRPr="00CE3BAE">
        <w:t>Taylor, 2000</w:t>
      </w:r>
      <w:r w:rsidRPr="00CE3BAE">
        <w:t>)</w:t>
      </w:r>
      <w:r w:rsidR="00E84498" w:rsidRPr="00CE3BAE">
        <w:t>.</w:t>
      </w:r>
    </w:p>
    <w:p w14:paraId="4B9443D7" w14:textId="77777777" w:rsidR="00FB638A" w:rsidRPr="000C18B2" w:rsidRDefault="00FB638A" w:rsidP="000C18B2">
      <w:pPr>
        <w:pStyle w:val="Heading2"/>
      </w:pPr>
      <w:r w:rsidRPr="000C18B2">
        <w:t>Teaching techniques</w:t>
      </w:r>
    </w:p>
    <w:p w14:paraId="11FB70E4" w14:textId="77777777" w:rsidR="00C20444" w:rsidRDefault="00C20444" w:rsidP="000C18B2">
      <w:pPr>
        <w:pStyle w:val="ListParagraph"/>
        <w:numPr>
          <w:ilvl w:val="0"/>
          <w:numId w:val="8"/>
        </w:numPr>
      </w:pPr>
      <w:r>
        <w:t xml:space="preserve">Provide opportunities to </w:t>
      </w:r>
      <w:r w:rsidR="00D71854">
        <w:t xml:space="preserve">use </w:t>
      </w:r>
      <w:r w:rsidR="00A657CA">
        <w:t xml:space="preserve">multiple and integrated </w:t>
      </w:r>
      <w:r w:rsidR="00D71854">
        <w:t xml:space="preserve">employability capabilities to </w:t>
      </w:r>
      <w:r w:rsidR="00A657CA">
        <w:t>undertake authentic assessment tasks</w:t>
      </w:r>
      <w:r>
        <w:t>.</w:t>
      </w:r>
    </w:p>
    <w:p w14:paraId="76268FE0" w14:textId="77777777" w:rsidR="00387086" w:rsidRDefault="00387086" w:rsidP="000C18B2">
      <w:pPr>
        <w:pStyle w:val="ListParagraph"/>
        <w:numPr>
          <w:ilvl w:val="0"/>
          <w:numId w:val="8"/>
        </w:numPr>
      </w:pPr>
      <w:r>
        <w:t xml:space="preserve">Invite student input into assessment design </w:t>
      </w:r>
      <w:r w:rsidR="00D71854">
        <w:t>and provide choice so student</w:t>
      </w:r>
      <w:r w:rsidR="00A657CA">
        <w:t>s</w:t>
      </w:r>
      <w:r w:rsidR="00D71854">
        <w:t xml:space="preserve"> are producing artefacts that they will find useful or </w:t>
      </w:r>
      <w:r w:rsidR="00A657CA">
        <w:t xml:space="preserve">are </w:t>
      </w:r>
      <w:r w:rsidR="00D71854">
        <w:t>solving problems that they have encountered</w:t>
      </w:r>
      <w:r w:rsidR="00A657CA">
        <w:t xml:space="preserve"> in their own lives</w:t>
      </w:r>
      <w:r w:rsidR="00D71854">
        <w:t xml:space="preserve">. </w:t>
      </w:r>
    </w:p>
    <w:p w14:paraId="406A754B" w14:textId="77777777" w:rsidR="00FB638A" w:rsidRDefault="00C20444" w:rsidP="000C18B2">
      <w:pPr>
        <w:pStyle w:val="ListParagraph"/>
        <w:numPr>
          <w:ilvl w:val="0"/>
          <w:numId w:val="8"/>
        </w:numPr>
      </w:pPr>
      <w:r>
        <w:t xml:space="preserve">Provide opportunities to create artefacts that can be used in </w:t>
      </w:r>
      <w:r w:rsidR="00CA2EEC">
        <w:t xml:space="preserve">society or the </w:t>
      </w:r>
      <w:r>
        <w:t>workplace</w:t>
      </w:r>
      <w:r w:rsidR="00A657CA">
        <w:t xml:space="preserve"> or by students in their future job seeking or early careers</w:t>
      </w:r>
      <w:r>
        <w:t>.</w:t>
      </w:r>
    </w:p>
    <w:p w14:paraId="4F228DE5" w14:textId="77777777" w:rsidR="00CE3BAE" w:rsidRDefault="00CE3BAE" w:rsidP="00CE3BAE">
      <w:pPr>
        <w:pStyle w:val="ListParagraph"/>
        <w:numPr>
          <w:ilvl w:val="0"/>
          <w:numId w:val="8"/>
        </w:numPr>
      </w:pPr>
      <w:r>
        <w:t>Provide opportunities for students to receive meaningful individual feedback from competent judges early enough to guide learning</w:t>
      </w:r>
    </w:p>
    <w:p w14:paraId="7BAA6740" w14:textId="77777777" w:rsidR="00A657CA" w:rsidRDefault="00C20444" w:rsidP="000C18B2">
      <w:pPr>
        <w:pStyle w:val="ListParagraph"/>
        <w:numPr>
          <w:ilvl w:val="0"/>
          <w:numId w:val="8"/>
        </w:numPr>
      </w:pPr>
      <w:r>
        <w:t xml:space="preserve">Invite industry input </w:t>
      </w:r>
      <w:r w:rsidR="00A657CA">
        <w:t>in either the guise of</w:t>
      </w:r>
      <w:r w:rsidR="00D71854">
        <w:t xml:space="preserve"> customers</w:t>
      </w:r>
      <w:r w:rsidR="00A657CA">
        <w:t>, mentors</w:t>
      </w:r>
      <w:r w:rsidR="00D71854">
        <w:t xml:space="preserve"> or judges</w:t>
      </w:r>
      <w:r w:rsidR="00A657CA">
        <w:t xml:space="preserve">. </w:t>
      </w:r>
    </w:p>
    <w:p w14:paraId="5347F304" w14:textId="77777777" w:rsidR="00C20444" w:rsidRDefault="00A657CA" w:rsidP="000C18B2">
      <w:pPr>
        <w:pStyle w:val="ListParagraph"/>
        <w:numPr>
          <w:ilvl w:val="0"/>
          <w:numId w:val="8"/>
        </w:numPr>
      </w:pPr>
      <w:r>
        <w:t>S</w:t>
      </w:r>
      <w:r w:rsidR="00D71854">
        <w:t xml:space="preserve">ecure </w:t>
      </w:r>
      <w:r>
        <w:t>industry</w:t>
      </w:r>
      <w:r w:rsidR="00D71854">
        <w:t xml:space="preserve"> advice on </w:t>
      </w:r>
      <w:r w:rsidR="00C20444">
        <w:t>assessment design and delivery</w:t>
      </w:r>
      <w:r w:rsidR="00D71854">
        <w:t xml:space="preserve"> to ensure relevance to employability</w:t>
      </w:r>
      <w:r w:rsidR="00C20444">
        <w:t>.</w:t>
      </w:r>
    </w:p>
    <w:p w14:paraId="0A42C888" w14:textId="77777777" w:rsidR="00387086" w:rsidRDefault="00387086" w:rsidP="000C18B2">
      <w:pPr>
        <w:pStyle w:val="ListParagraph"/>
        <w:numPr>
          <w:ilvl w:val="0"/>
          <w:numId w:val="8"/>
        </w:numPr>
      </w:pPr>
      <w:r>
        <w:t xml:space="preserve">Provide ways to recognise and celebrate achievements </w:t>
      </w:r>
      <w:r w:rsidR="00D71854">
        <w:t xml:space="preserve">ideally </w:t>
      </w:r>
      <w:r>
        <w:t>with industry.</w:t>
      </w:r>
    </w:p>
    <w:p w14:paraId="3F13C859" w14:textId="77777777" w:rsidR="00D93832" w:rsidRDefault="00C20444" w:rsidP="000C18B2">
      <w:pPr>
        <w:pStyle w:val="ListParagraph"/>
        <w:numPr>
          <w:ilvl w:val="0"/>
          <w:numId w:val="8"/>
        </w:numPr>
      </w:pPr>
      <w:r>
        <w:t>Facilitate alumni and/or industry mentorship opportunities.</w:t>
      </w:r>
    </w:p>
    <w:p w14:paraId="74F9C7FC" w14:textId="77777777" w:rsidR="00150DD8" w:rsidRDefault="00A657CA" w:rsidP="000C18B2">
      <w:pPr>
        <w:pStyle w:val="ListParagraph"/>
        <w:numPr>
          <w:ilvl w:val="0"/>
          <w:numId w:val="8"/>
        </w:numPr>
      </w:pPr>
      <w:r>
        <w:t>Explain the relevance of any assessment to employability</w:t>
      </w:r>
      <w:r w:rsidR="00150DD8">
        <w:t>.</w:t>
      </w:r>
    </w:p>
    <w:p w14:paraId="2D79FD98" w14:textId="77777777" w:rsidR="001231B2" w:rsidRDefault="00A657CA" w:rsidP="000C18B2">
      <w:pPr>
        <w:pStyle w:val="ListParagraph"/>
        <w:numPr>
          <w:ilvl w:val="0"/>
          <w:numId w:val="8"/>
        </w:numPr>
      </w:pPr>
      <w:r>
        <w:t>Make the work students do public and make sure it is appreciated.</w:t>
      </w:r>
    </w:p>
    <w:p w14:paraId="3C026B30" w14:textId="77777777" w:rsidR="00CE3BAE" w:rsidRPr="00C61A1E" w:rsidRDefault="00CE3BAE" w:rsidP="00CE3BAE">
      <w:pPr>
        <w:pStyle w:val="ListParagraph"/>
        <w:numPr>
          <w:ilvl w:val="0"/>
          <w:numId w:val="8"/>
        </w:numPr>
      </w:pPr>
      <w:r w:rsidRPr="00CE3BAE">
        <w:t>Develop systems to ensure defensible quality in evaluative judgments and feedback across time, courses, or judges</w:t>
      </w:r>
      <w:r>
        <w:t>.</w:t>
      </w:r>
      <w:r w:rsidRPr="00CE3BAE">
        <w:t xml:space="preserve"> </w:t>
      </w:r>
    </w:p>
    <w:p w14:paraId="43D6E867" w14:textId="159E1763" w:rsidR="00CE3BAE" w:rsidRPr="004122D4" w:rsidRDefault="00CE3BAE" w:rsidP="00CE3BAE">
      <w:pPr>
        <w:pStyle w:val="ListParagraph"/>
        <w:numPr>
          <w:ilvl w:val="0"/>
          <w:numId w:val="8"/>
        </w:numPr>
        <w:spacing w:before="120"/>
      </w:pPr>
      <w:r>
        <w:t>Develop and share industry-informed criteria, rubrics, and scripts that transparently guide judgments</w:t>
      </w:r>
      <w:r w:rsidR="00763849">
        <w:t>.</w:t>
      </w:r>
    </w:p>
    <w:p w14:paraId="269E9AB3" w14:textId="77777777" w:rsidR="00CE3BAE" w:rsidRPr="00CE3BAE" w:rsidRDefault="00CE3BAE" w:rsidP="00CE3BAE">
      <w:pPr>
        <w:pStyle w:val="ListParagraph"/>
        <w:numPr>
          <w:ilvl w:val="0"/>
          <w:numId w:val="8"/>
        </w:numPr>
        <w:spacing w:before="120"/>
      </w:pPr>
      <w:r w:rsidRPr="00CE3BAE">
        <w:rPr>
          <w:lang w:eastAsia="zh-CN"/>
        </w:rPr>
        <w:t>Develop systems to support the validity of student peer to peer feedback and judgments in light of industry standards</w:t>
      </w:r>
      <w:r>
        <w:rPr>
          <w:lang w:eastAsia="zh-CN"/>
        </w:rPr>
        <w:t>.</w:t>
      </w:r>
    </w:p>
    <w:p w14:paraId="2DA1925B" w14:textId="77777777" w:rsidR="00CE3BAE" w:rsidRPr="00CE3BAE" w:rsidRDefault="00CE3BAE" w:rsidP="00CE3BAE">
      <w:pPr>
        <w:pStyle w:val="ListParagraph"/>
        <w:numPr>
          <w:ilvl w:val="0"/>
          <w:numId w:val="8"/>
        </w:numPr>
        <w:spacing w:before="120"/>
      </w:pPr>
      <w:r w:rsidRPr="00CE3BAE">
        <w:rPr>
          <w:lang w:eastAsia="zh-CN"/>
        </w:rPr>
        <w:t>Develop systems to support the realism of student self-assessments relative to industry standards</w:t>
      </w:r>
      <w:r>
        <w:rPr>
          <w:lang w:eastAsia="zh-CN"/>
        </w:rPr>
        <w:t>.</w:t>
      </w:r>
    </w:p>
    <w:p w14:paraId="2A7871EB" w14:textId="77777777" w:rsidR="00CE3BAE" w:rsidRDefault="00CE3BAE" w:rsidP="00CE3BAE"/>
    <w:p w14:paraId="30A47413" w14:textId="77777777" w:rsidR="001231B2" w:rsidRPr="001231B2" w:rsidRDefault="001231B2" w:rsidP="001231B2">
      <w:pPr>
        <w:pStyle w:val="Heading1"/>
        <w:rPr>
          <w:shd w:val="clear" w:color="auto" w:fill="FFFFFF"/>
        </w:rPr>
      </w:pPr>
      <w:r w:rsidRPr="001231B2">
        <w:rPr>
          <w:shd w:val="clear" w:color="auto" w:fill="FFFFFF"/>
        </w:rPr>
        <w:t>References</w:t>
      </w:r>
    </w:p>
    <w:p w14:paraId="3005D552"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Bandura, A. (1997). </w:t>
      </w:r>
      <w:r w:rsidRPr="00CE3BAE">
        <w:rPr>
          <w:rFonts w:cs="Arial"/>
          <w:i/>
          <w:iCs/>
          <w:shd w:val="clear" w:color="auto" w:fill="FFFFFF"/>
        </w:rPr>
        <w:t>Self-efficacy: The exercise of control</w:t>
      </w:r>
      <w:r w:rsidRPr="00CE3BAE">
        <w:rPr>
          <w:rFonts w:cs="Arial"/>
          <w:shd w:val="clear" w:color="auto" w:fill="FFFFFF"/>
        </w:rPr>
        <w:t>. Macmillan.</w:t>
      </w:r>
    </w:p>
    <w:p w14:paraId="6AD56B26" w14:textId="77777777" w:rsidR="00CE3BAE" w:rsidRPr="00CE3BAE" w:rsidRDefault="00CE3BAE" w:rsidP="00CE3BAE">
      <w:pPr>
        <w:pStyle w:val="NormalWeb"/>
        <w:shd w:val="clear" w:color="auto" w:fill="FFFFFF"/>
        <w:spacing w:before="0" w:beforeAutospacing="0" w:after="120" w:afterAutospacing="0" w:line="276" w:lineRule="auto"/>
        <w:ind w:left="720" w:hanging="720"/>
        <w:rPr>
          <w:rFonts w:ascii="Calibri" w:hAnsi="Calibri" w:cs="Arial"/>
          <w:shd w:val="clear" w:color="auto" w:fill="FFFFFF"/>
        </w:rPr>
      </w:pPr>
      <w:r w:rsidRPr="00CE3BAE">
        <w:rPr>
          <w:rFonts w:ascii="Calibri" w:hAnsi="Calibri" w:cs="Arial"/>
          <w:shd w:val="clear" w:color="auto" w:fill="FFFFFF"/>
        </w:rPr>
        <w:t>Bandura, A. 1986. Social foundations of thought and action. A social cognitive theory. </w:t>
      </w:r>
      <w:r w:rsidRPr="00CE3BAE">
        <w:rPr>
          <w:rFonts w:ascii="Calibri" w:hAnsi="Calibri" w:cs="Arial"/>
          <w:i/>
          <w:iCs/>
          <w:shd w:val="clear" w:color="auto" w:fill="FFFFFF"/>
        </w:rPr>
        <w:t>Englewood Cliff</w:t>
      </w:r>
      <w:r w:rsidRPr="00CE3BAE">
        <w:rPr>
          <w:rFonts w:ascii="Calibri" w:hAnsi="Calibri" w:cs="Arial"/>
          <w:shd w:val="clear" w:color="auto" w:fill="FFFFFF"/>
        </w:rPr>
        <w:t>.</w:t>
      </w:r>
    </w:p>
    <w:p w14:paraId="187C9222"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Bass, B. M., &amp; Riggio, R. E. (2006). </w:t>
      </w:r>
      <w:r w:rsidRPr="00CE3BAE">
        <w:rPr>
          <w:rFonts w:cs="Arial"/>
          <w:i/>
          <w:iCs/>
          <w:shd w:val="clear" w:color="auto" w:fill="FFFFFF"/>
        </w:rPr>
        <w:t>Transformational leadership</w:t>
      </w:r>
      <w:r w:rsidRPr="00CE3BAE">
        <w:rPr>
          <w:rFonts w:cs="Arial"/>
          <w:shd w:val="clear" w:color="auto" w:fill="FFFFFF"/>
        </w:rPr>
        <w:t>. Psychology Press.</w:t>
      </w:r>
    </w:p>
    <w:p w14:paraId="7DFEE99B" w14:textId="77777777" w:rsidR="00CE3BAE" w:rsidRPr="00CE3BAE" w:rsidRDefault="00CE3BAE" w:rsidP="00CE3BAE">
      <w:pPr>
        <w:pStyle w:val="NormalWeb"/>
        <w:shd w:val="clear" w:color="auto" w:fill="FFFFFF"/>
        <w:spacing w:before="0" w:beforeAutospacing="0" w:after="120" w:afterAutospacing="0" w:line="276" w:lineRule="auto"/>
        <w:ind w:left="720" w:hanging="720"/>
        <w:rPr>
          <w:rFonts w:ascii="Calibri" w:hAnsi="Calibri"/>
        </w:rPr>
      </w:pPr>
      <w:r w:rsidRPr="00CE3BAE">
        <w:rPr>
          <w:rFonts w:ascii="Calibri" w:hAnsi="Calibri"/>
        </w:rPr>
        <w:t>Boyatzis, R. E. &amp; Akrivou, K. (2006). The ideal self as the driver of intentional change. The Journal of Management Development, 25(7), 624-638.</w:t>
      </w:r>
    </w:p>
    <w:p w14:paraId="3754D58C"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Boyatzis, R. E. (2006). An overview of intentional change from a complexity perspective. </w:t>
      </w:r>
      <w:r w:rsidRPr="00CE3BAE">
        <w:rPr>
          <w:rFonts w:cs="Arial"/>
          <w:i/>
          <w:iCs/>
          <w:shd w:val="clear" w:color="auto" w:fill="FFFFFF"/>
        </w:rPr>
        <w:t>Journal of Management Development</w:t>
      </w:r>
      <w:r w:rsidRPr="00CE3BAE">
        <w:rPr>
          <w:rFonts w:cs="Arial"/>
          <w:shd w:val="clear" w:color="auto" w:fill="FFFFFF"/>
        </w:rPr>
        <w:t>, </w:t>
      </w:r>
      <w:r w:rsidRPr="00CE3BAE">
        <w:rPr>
          <w:rFonts w:cs="Arial"/>
          <w:i/>
          <w:iCs/>
          <w:shd w:val="clear" w:color="auto" w:fill="FFFFFF"/>
        </w:rPr>
        <w:t>25</w:t>
      </w:r>
      <w:r w:rsidRPr="00CE3BAE">
        <w:rPr>
          <w:rFonts w:cs="Arial"/>
          <w:shd w:val="clear" w:color="auto" w:fill="FFFFFF"/>
        </w:rPr>
        <w:t>(7), 607-623.</w:t>
      </w:r>
    </w:p>
    <w:p w14:paraId="4C91279D"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Boyd, R. D., &amp; Myers, J. G. (1988). Transformative education. </w:t>
      </w:r>
      <w:r w:rsidRPr="00CE3BAE">
        <w:rPr>
          <w:rFonts w:cs="Arial"/>
          <w:i/>
          <w:iCs/>
          <w:shd w:val="clear" w:color="auto" w:fill="FFFFFF"/>
        </w:rPr>
        <w:t>International journal of lifelong education</w:t>
      </w:r>
      <w:r w:rsidRPr="00CE3BAE">
        <w:rPr>
          <w:rFonts w:cs="Arial"/>
          <w:shd w:val="clear" w:color="auto" w:fill="FFFFFF"/>
        </w:rPr>
        <w:t>, </w:t>
      </w:r>
      <w:r w:rsidRPr="00CE3BAE">
        <w:rPr>
          <w:rFonts w:cs="Arial"/>
          <w:i/>
          <w:iCs/>
          <w:shd w:val="clear" w:color="auto" w:fill="FFFFFF"/>
        </w:rPr>
        <w:t>7</w:t>
      </w:r>
      <w:r w:rsidRPr="00CE3BAE">
        <w:rPr>
          <w:rFonts w:cs="Arial"/>
          <w:shd w:val="clear" w:color="auto" w:fill="FFFFFF"/>
        </w:rPr>
        <w:t>(4), 261-284.</w:t>
      </w:r>
    </w:p>
    <w:p w14:paraId="77A97E02" w14:textId="77777777" w:rsidR="00CE3BAE" w:rsidRPr="00CE3BAE" w:rsidRDefault="00CE3BAE" w:rsidP="00CE3BAE">
      <w:pPr>
        <w:spacing w:after="120" w:line="276" w:lineRule="auto"/>
        <w:ind w:left="720" w:hanging="720"/>
        <w:rPr>
          <w:rFonts w:cs="Arial"/>
          <w:shd w:val="clear" w:color="auto" w:fill="F8F8F8"/>
        </w:rPr>
      </w:pPr>
      <w:r w:rsidRPr="00CE3BAE">
        <w:t xml:space="preserve">Brown, G. T. L. (2018). </w:t>
      </w:r>
      <w:r w:rsidRPr="00CE3BAE">
        <w:rPr>
          <w:i/>
          <w:iCs/>
        </w:rPr>
        <w:t>Assessment of Student Achievement</w:t>
      </w:r>
      <w:r w:rsidRPr="00CE3BAE">
        <w:rPr>
          <w:i/>
        </w:rPr>
        <w:t>.</w:t>
      </w:r>
      <w:r w:rsidRPr="00CE3BAE">
        <w:t xml:space="preserve"> </w:t>
      </w:r>
      <w:r w:rsidRPr="00CE3BAE">
        <w:rPr>
          <w:lang w:eastAsia="en-GB"/>
        </w:rPr>
        <w:t>New York: Routledge.</w:t>
      </w:r>
    </w:p>
    <w:p w14:paraId="3C5419F9" w14:textId="77777777" w:rsidR="00CE3BAE" w:rsidRPr="00CE3BAE" w:rsidRDefault="00CE3BAE" w:rsidP="00CE3BAE">
      <w:pPr>
        <w:pStyle w:val="CommentText"/>
        <w:spacing w:after="120" w:line="276" w:lineRule="auto"/>
        <w:ind w:left="720" w:hanging="720"/>
        <w:rPr>
          <w:rFonts w:ascii="Calibri" w:hAnsi="Calibri"/>
          <w:sz w:val="24"/>
          <w:szCs w:val="24"/>
        </w:rPr>
      </w:pPr>
      <w:r w:rsidRPr="00CE3BAE">
        <w:rPr>
          <w:rFonts w:ascii="Calibri" w:hAnsi="Calibri"/>
          <w:sz w:val="24"/>
          <w:szCs w:val="24"/>
        </w:rPr>
        <w:t xml:space="preserve">Brown, G. T. L., &amp; Harris, L. R. (Eds.). (2016). </w:t>
      </w:r>
      <w:r w:rsidRPr="00CE3BAE">
        <w:rPr>
          <w:rFonts w:ascii="Calibri" w:hAnsi="Calibri"/>
          <w:i/>
          <w:sz w:val="24"/>
          <w:szCs w:val="24"/>
          <w:lang w:eastAsia="en-GB"/>
        </w:rPr>
        <w:t>Handbook of</w:t>
      </w:r>
      <w:r w:rsidRPr="00CE3BAE">
        <w:rPr>
          <w:rFonts w:ascii="Calibri" w:hAnsi="Calibri"/>
          <w:sz w:val="24"/>
          <w:szCs w:val="24"/>
          <w:lang w:eastAsia="en-GB"/>
        </w:rPr>
        <w:t xml:space="preserve"> </w:t>
      </w:r>
      <w:r w:rsidRPr="00CE3BAE">
        <w:rPr>
          <w:rFonts w:ascii="Calibri" w:hAnsi="Calibri"/>
          <w:i/>
          <w:sz w:val="24"/>
          <w:szCs w:val="24"/>
          <w:lang w:eastAsia="en-GB"/>
        </w:rPr>
        <w:t>Human and Social Factors in Assessment</w:t>
      </w:r>
      <w:r w:rsidRPr="00CE3BAE">
        <w:rPr>
          <w:rFonts w:ascii="Calibri" w:hAnsi="Calibri"/>
          <w:sz w:val="24"/>
          <w:szCs w:val="24"/>
          <w:lang w:eastAsia="en-GB"/>
        </w:rPr>
        <w:t>. New York: Routledge.</w:t>
      </w:r>
    </w:p>
    <w:p w14:paraId="01753A0E" w14:textId="77777777" w:rsidR="00CE3BAE" w:rsidRPr="00CE3BAE" w:rsidRDefault="00CE3BAE" w:rsidP="00CE3BAE">
      <w:pPr>
        <w:pStyle w:val="NormalWeb"/>
        <w:shd w:val="clear" w:color="auto" w:fill="FFFFFF"/>
        <w:spacing w:before="0" w:beforeAutospacing="0" w:after="120" w:afterAutospacing="0" w:line="276" w:lineRule="auto"/>
        <w:ind w:left="720" w:hanging="720"/>
        <w:rPr>
          <w:rFonts w:ascii="Calibri" w:hAnsi="Calibri" w:cs="Arial"/>
          <w:shd w:val="clear" w:color="auto" w:fill="FFFFFF"/>
        </w:rPr>
      </w:pPr>
      <w:r w:rsidRPr="00CE3BAE">
        <w:rPr>
          <w:rFonts w:ascii="Calibri" w:hAnsi="Calibri" w:cs="Arial"/>
          <w:shd w:val="clear" w:color="auto" w:fill="FFFFFF"/>
        </w:rPr>
        <w:t>Cranton, P. (1992). </w:t>
      </w:r>
      <w:r w:rsidRPr="00CE3BAE">
        <w:rPr>
          <w:rFonts w:ascii="Calibri" w:hAnsi="Calibri" w:cs="Arial"/>
          <w:i/>
          <w:iCs/>
          <w:shd w:val="clear" w:color="auto" w:fill="FFFFFF"/>
        </w:rPr>
        <w:t>Working with Adult Learners</w:t>
      </w:r>
      <w:r w:rsidRPr="00CE3BAE">
        <w:rPr>
          <w:rFonts w:ascii="Calibri" w:hAnsi="Calibri" w:cs="Arial"/>
          <w:shd w:val="clear" w:color="auto" w:fill="FFFFFF"/>
        </w:rPr>
        <w:t>. Wall &amp; Emerson, Inc., 3210 South Main St., PO Box 448686, Middletown, OH 45044-8686..</w:t>
      </w:r>
    </w:p>
    <w:p w14:paraId="0940E156"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Cranton, P. (2002). Teaching for transformation. </w:t>
      </w:r>
      <w:r w:rsidRPr="00CE3BAE">
        <w:rPr>
          <w:rFonts w:cs="Arial"/>
          <w:i/>
          <w:iCs/>
          <w:shd w:val="clear" w:color="auto" w:fill="FFFFFF"/>
        </w:rPr>
        <w:t>New directions for adult and continuing education</w:t>
      </w:r>
      <w:r w:rsidRPr="00CE3BAE">
        <w:rPr>
          <w:rFonts w:cs="Arial"/>
          <w:shd w:val="clear" w:color="auto" w:fill="FFFFFF"/>
        </w:rPr>
        <w:t>, </w:t>
      </w:r>
      <w:r w:rsidRPr="00CE3BAE">
        <w:rPr>
          <w:rFonts w:cs="Arial"/>
          <w:i/>
          <w:iCs/>
          <w:shd w:val="clear" w:color="auto" w:fill="FFFFFF"/>
        </w:rPr>
        <w:t>2002</w:t>
      </w:r>
      <w:r w:rsidRPr="00CE3BAE">
        <w:rPr>
          <w:rFonts w:cs="Arial"/>
          <w:shd w:val="clear" w:color="auto" w:fill="FFFFFF"/>
        </w:rPr>
        <w:t>(93), 63-72.</w:t>
      </w:r>
    </w:p>
    <w:p w14:paraId="19116734" w14:textId="77777777" w:rsidR="00CE3BAE" w:rsidRPr="00CE3BAE" w:rsidRDefault="00CE3BAE" w:rsidP="00CE3BAE">
      <w:pPr>
        <w:pStyle w:val="NormalWeb"/>
        <w:shd w:val="clear" w:color="auto" w:fill="FFFFFF"/>
        <w:spacing w:before="0" w:beforeAutospacing="0" w:after="120" w:afterAutospacing="0" w:line="276" w:lineRule="auto"/>
        <w:ind w:left="720" w:hanging="720"/>
        <w:rPr>
          <w:rFonts w:ascii="Calibri" w:hAnsi="Calibri" w:cs="Arial"/>
          <w:shd w:val="clear" w:color="auto" w:fill="FFFFFF"/>
        </w:rPr>
      </w:pPr>
      <w:r w:rsidRPr="00CE3BAE">
        <w:rPr>
          <w:rFonts w:ascii="Calibri" w:hAnsi="Calibri" w:cs="Arial"/>
          <w:shd w:val="clear" w:color="auto" w:fill="FFFFFF"/>
        </w:rPr>
        <w:t>Dahlgren, M. A., &amp; Chiriac, E. H. (2009). Learning for professional life: Student teachers' and graduated teachers' views of learning, responsibility and collaboration. </w:t>
      </w:r>
      <w:r w:rsidRPr="00CE3BAE">
        <w:rPr>
          <w:rFonts w:ascii="Calibri" w:hAnsi="Calibri" w:cs="Arial"/>
          <w:i/>
          <w:iCs/>
          <w:shd w:val="clear" w:color="auto" w:fill="FFFFFF"/>
        </w:rPr>
        <w:t>Teaching and Teacher Education</w:t>
      </w:r>
      <w:r w:rsidRPr="00CE3BAE">
        <w:rPr>
          <w:rFonts w:ascii="Calibri" w:hAnsi="Calibri" w:cs="Arial"/>
          <w:shd w:val="clear" w:color="auto" w:fill="FFFFFF"/>
        </w:rPr>
        <w:t>, </w:t>
      </w:r>
      <w:r w:rsidRPr="00CE3BAE">
        <w:rPr>
          <w:rFonts w:ascii="Calibri" w:hAnsi="Calibri" w:cs="Arial"/>
          <w:i/>
          <w:iCs/>
          <w:shd w:val="clear" w:color="auto" w:fill="FFFFFF"/>
        </w:rPr>
        <w:t>25</w:t>
      </w:r>
      <w:r w:rsidRPr="00CE3BAE">
        <w:rPr>
          <w:rFonts w:ascii="Calibri" w:hAnsi="Calibri" w:cs="Arial"/>
          <w:shd w:val="clear" w:color="auto" w:fill="FFFFFF"/>
        </w:rPr>
        <w:t>(8), 991-999.</w:t>
      </w:r>
    </w:p>
    <w:p w14:paraId="4BB0F564"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Dweck, C. S. (2006). </w:t>
      </w:r>
      <w:r w:rsidRPr="00CE3BAE">
        <w:rPr>
          <w:rFonts w:cs="Arial"/>
          <w:i/>
          <w:iCs/>
          <w:shd w:val="clear" w:color="auto" w:fill="FFFFFF"/>
        </w:rPr>
        <w:t>Mindset: The new psychology of success</w:t>
      </w:r>
      <w:r w:rsidRPr="00CE3BAE">
        <w:rPr>
          <w:rFonts w:cs="Arial"/>
          <w:shd w:val="clear" w:color="auto" w:fill="FFFFFF"/>
        </w:rPr>
        <w:t>. Random House Incorporated.</w:t>
      </w:r>
    </w:p>
    <w:p w14:paraId="5EC2E810" w14:textId="77777777" w:rsidR="00CE3BAE" w:rsidRPr="00CE3BAE" w:rsidRDefault="00CE3BAE" w:rsidP="00CE3BAE">
      <w:pPr>
        <w:pStyle w:val="NormalWeb"/>
        <w:shd w:val="clear" w:color="auto" w:fill="FFFFFF"/>
        <w:spacing w:before="0" w:beforeAutospacing="0" w:after="120" w:afterAutospacing="0" w:line="276" w:lineRule="auto"/>
        <w:ind w:left="720" w:hanging="720"/>
        <w:rPr>
          <w:rFonts w:ascii="Calibri" w:hAnsi="Calibri"/>
        </w:rPr>
      </w:pPr>
      <w:r w:rsidRPr="00CE3BAE">
        <w:rPr>
          <w:rFonts w:ascii="Calibri" w:hAnsi="Calibri"/>
        </w:rPr>
        <w:t xml:space="preserve">Gabrove, V. (1997). The many facets of transformative learning theory and practice. In P. Cranton (Ed.), </w:t>
      </w:r>
      <w:r w:rsidRPr="00CE3BAE">
        <w:rPr>
          <w:rFonts w:ascii="Calibri" w:hAnsi="Calibri"/>
          <w:i/>
        </w:rPr>
        <w:t>Transformative learning in action: Insights from practice (New directions for adult and continuing education,</w:t>
      </w:r>
      <w:r w:rsidRPr="00CE3BAE">
        <w:rPr>
          <w:rFonts w:ascii="Calibri" w:hAnsi="Calibri"/>
        </w:rPr>
        <w:t xml:space="preserve"> No. 74, pp. 89-95). San Francisco, CA: Jossey-Bass.</w:t>
      </w:r>
    </w:p>
    <w:p w14:paraId="764D912A" w14:textId="7CA3CDD2" w:rsidR="00CE3BAE" w:rsidRPr="00CE3BAE" w:rsidRDefault="00CE3BAE" w:rsidP="00CE3BAE">
      <w:pPr>
        <w:spacing w:after="120" w:line="276" w:lineRule="auto"/>
        <w:ind w:left="720" w:hanging="720"/>
        <w:rPr>
          <w:rFonts w:eastAsia="Times New Roman" w:cs="Times New Roman"/>
          <w:lang w:eastAsia="en-NZ"/>
        </w:rPr>
      </w:pPr>
      <w:r w:rsidRPr="00CE3BAE">
        <w:rPr>
          <w:rFonts w:eastAsia="Times New Roman" w:cs="Times New Roman"/>
          <w:lang w:eastAsia="en-NZ"/>
        </w:rPr>
        <w:t xml:space="preserve">Garner, R., Gillingham, M. G., &amp; White, C. S. (1989). Effects </w:t>
      </w:r>
      <w:r w:rsidR="002C170D" w:rsidRPr="00CE3BAE">
        <w:rPr>
          <w:rFonts w:eastAsia="Times New Roman" w:cs="Times New Roman"/>
          <w:lang w:eastAsia="en-NZ"/>
        </w:rPr>
        <w:t>of ‘seductive</w:t>
      </w:r>
      <w:r w:rsidRPr="00CE3BAE">
        <w:rPr>
          <w:rFonts w:eastAsia="Times New Roman" w:cs="Times New Roman"/>
          <w:lang w:eastAsia="en-NZ"/>
        </w:rPr>
        <w:t xml:space="preserve"> details' on macroprocessing and microprocessing in adults and children. </w:t>
      </w:r>
      <w:r w:rsidRPr="00CE3BAE">
        <w:rPr>
          <w:rFonts w:eastAsia="Times New Roman" w:cs="Times New Roman"/>
          <w:i/>
          <w:lang w:eastAsia="en-NZ"/>
        </w:rPr>
        <w:t>Cognition and instruction</w:t>
      </w:r>
      <w:r w:rsidRPr="00CE3BAE">
        <w:rPr>
          <w:rFonts w:eastAsia="Times New Roman" w:cs="Times New Roman"/>
          <w:lang w:eastAsia="en-NZ"/>
        </w:rPr>
        <w:t>, 6(1), 41-57.</w:t>
      </w:r>
    </w:p>
    <w:p w14:paraId="18C6F2EB" w14:textId="77777777" w:rsidR="00CE3BAE" w:rsidRPr="00CE3BAE" w:rsidRDefault="00CE3BAE" w:rsidP="00CE3BAE">
      <w:pPr>
        <w:spacing w:after="120" w:line="276" w:lineRule="auto"/>
        <w:ind w:left="720" w:hanging="720"/>
        <w:rPr>
          <w:rFonts w:eastAsia="Times New Roman" w:cs="Times New Roman"/>
          <w:lang w:eastAsia="en-NZ"/>
        </w:rPr>
      </w:pPr>
      <w:r w:rsidRPr="00CE3BAE">
        <w:rPr>
          <w:rFonts w:eastAsia="Times New Roman" w:cs="Times New Roman"/>
          <w:lang w:eastAsia="en-NZ"/>
        </w:rPr>
        <w:t>Gentner, D. (1983). Structure‐mapping: A theoretical framework for analogy. </w:t>
      </w:r>
      <w:r w:rsidRPr="00CE3BAE">
        <w:rPr>
          <w:rFonts w:eastAsia="Times New Roman" w:cs="Times New Roman"/>
          <w:i/>
          <w:lang w:eastAsia="en-NZ"/>
        </w:rPr>
        <w:t>Cognitive science, </w:t>
      </w:r>
      <w:r w:rsidRPr="00CE3BAE">
        <w:rPr>
          <w:rFonts w:eastAsia="Times New Roman" w:cs="Times New Roman"/>
          <w:lang w:eastAsia="en-NZ"/>
        </w:rPr>
        <w:t>7(2), 155-170.</w:t>
      </w:r>
    </w:p>
    <w:p w14:paraId="2361E230" w14:textId="77777777" w:rsidR="00CE3BAE" w:rsidRPr="00CE3BAE" w:rsidRDefault="00CE3BAE" w:rsidP="00CE3BAE">
      <w:pPr>
        <w:pStyle w:val="NormalWeb"/>
        <w:shd w:val="clear" w:color="auto" w:fill="FFFFFF"/>
        <w:spacing w:before="0" w:beforeAutospacing="0" w:after="120" w:afterAutospacing="0" w:line="276" w:lineRule="auto"/>
        <w:ind w:left="720" w:hanging="720"/>
        <w:rPr>
          <w:rFonts w:ascii="Calibri" w:hAnsi="Calibri" w:cs="Arial"/>
          <w:shd w:val="clear" w:color="auto" w:fill="FFFFFF"/>
        </w:rPr>
      </w:pPr>
      <w:r w:rsidRPr="00CE3BAE">
        <w:rPr>
          <w:rFonts w:ascii="Calibri" w:hAnsi="Calibri" w:cs="Arial"/>
          <w:shd w:val="clear" w:color="auto" w:fill="FFFFFF"/>
        </w:rPr>
        <w:t>Imel, S. (1998). Transformative Learning in Adulthood. ERIC Digest No. 200.</w:t>
      </w:r>
    </w:p>
    <w:p w14:paraId="7D2F037B" w14:textId="77777777" w:rsidR="00CE3BAE" w:rsidRPr="00CE3BAE" w:rsidRDefault="00CE3BAE" w:rsidP="00CE3BAE">
      <w:pPr>
        <w:spacing w:after="120" w:line="276" w:lineRule="auto"/>
        <w:ind w:left="720" w:hanging="720"/>
        <w:rPr>
          <w:rFonts w:eastAsia="Times New Roman" w:cs="Times New Roman"/>
          <w:lang w:eastAsia="en-NZ"/>
        </w:rPr>
      </w:pPr>
      <w:r w:rsidRPr="00CE3BAE">
        <w:rPr>
          <w:rFonts w:eastAsia="Times New Roman" w:cs="Times New Roman"/>
          <w:lang w:eastAsia="en-NZ"/>
        </w:rPr>
        <w:t>Marton, F. (1981). Phenomenography—describing conceptions of the world around us. </w:t>
      </w:r>
      <w:r w:rsidRPr="00CE3BAE">
        <w:rPr>
          <w:rFonts w:eastAsia="Times New Roman" w:cs="Times New Roman"/>
          <w:i/>
          <w:lang w:eastAsia="en-NZ"/>
        </w:rPr>
        <w:t>Instructional science, 10</w:t>
      </w:r>
      <w:r w:rsidRPr="00CE3BAE">
        <w:rPr>
          <w:rFonts w:eastAsia="Times New Roman" w:cs="Times New Roman"/>
          <w:lang w:eastAsia="en-NZ"/>
        </w:rPr>
        <w:t>(2), 177-200.</w:t>
      </w:r>
    </w:p>
    <w:p w14:paraId="0FA580CB"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Meyer, J. H., Land, R., &amp; Baillie, C. (Eds.). (2010). </w:t>
      </w:r>
      <w:r w:rsidRPr="00CE3BAE">
        <w:rPr>
          <w:rFonts w:cs="Arial"/>
          <w:i/>
          <w:iCs/>
          <w:shd w:val="clear" w:color="auto" w:fill="FFFFFF"/>
        </w:rPr>
        <w:t>Threshold concepts and transformational learning</w:t>
      </w:r>
      <w:r w:rsidRPr="00CE3BAE">
        <w:rPr>
          <w:rFonts w:cs="Arial"/>
          <w:shd w:val="clear" w:color="auto" w:fill="FFFFFF"/>
        </w:rPr>
        <w:t> (pp. 303-316). Rotterdam: Sense Publishers.</w:t>
      </w:r>
    </w:p>
    <w:p w14:paraId="5B4AB001" w14:textId="331BEB20"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Mezirow, J. (2000). </w:t>
      </w:r>
      <w:r w:rsidRPr="00CE3BAE">
        <w:rPr>
          <w:rFonts w:cs="Arial"/>
          <w:i/>
          <w:iCs/>
          <w:shd w:val="clear" w:color="auto" w:fill="FFFFFF"/>
        </w:rPr>
        <w:t>Learning as Transformation: Critical Perspectives on a Theory in Progress. The Jossey-Bass Higher and Adult Education Series</w:t>
      </w:r>
      <w:r w:rsidRPr="00CE3BAE">
        <w:rPr>
          <w:rFonts w:cs="Arial"/>
          <w:shd w:val="clear" w:color="auto" w:fill="FFFFFF"/>
        </w:rPr>
        <w:t>. Jossey-Bass Publishers, , San Francisco, CA 94104.</w:t>
      </w:r>
    </w:p>
    <w:p w14:paraId="5B4F0269"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Piaget, J. (1967). On the development of memory and identity.</w:t>
      </w:r>
    </w:p>
    <w:p w14:paraId="011C4D24"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Rittle-Johnson, B., Star, J. R., &amp; Durkin, K. (2009). The importance of prior knowledge when comparing examples: Influences on conceptual and procedural knowledge of equation solving. </w:t>
      </w:r>
      <w:r w:rsidRPr="00CE3BAE">
        <w:rPr>
          <w:rFonts w:cs="Arial"/>
          <w:i/>
          <w:iCs/>
          <w:shd w:val="clear" w:color="auto" w:fill="FFFFFF"/>
        </w:rPr>
        <w:t>Journal of Educational Psychology</w:t>
      </w:r>
      <w:r w:rsidRPr="00CE3BAE">
        <w:rPr>
          <w:rFonts w:cs="Arial"/>
          <w:shd w:val="clear" w:color="auto" w:fill="FFFFFF"/>
        </w:rPr>
        <w:t>, </w:t>
      </w:r>
      <w:r w:rsidRPr="00CE3BAE">
        <w:rPr>
          <w:rFonts w:cs="Arial"/>
          <w:i/>
          <w:iCs/>
          <w:shd w:val="clear" w:color="auto" w:fill="FFFFFF"/>
        </w:rPr>
        <w:t>101</w:t>
      </w:r>
      <w:r w:rsidRPr="00CE3BAE">
        <w:rPr>
          <w:rFonts w:cs="Arial"/>
          <w:shd w:val="clear" w:color="auto" w:fill="FFFFFF"/>
        </w:rPr>
        <w:t>(4), 836.</w:t>
      </w:r>
    </w:p>
    <w:p w14:paraId="35C80D22"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Singley, M. K., &amp; Anderson, J. R. (1989). </w:t>
      </w:r>
      <w:r w:rsidRPr="00CE3BAE">
        <w:rPr>
          <w:rFonts w:cs="Arial"/>
          <w:i/>
          <w:shd w:val="clear" w:color="auto" w:fill="FFFFFF"/>
        </w:rPr>
        <w:t>The transfer of cognitive skill</w:t>
      </w:r>
      <w:r w:rsidRPr="00CE3BAE">
        <w:rPr>
          <w:rFonts w:cs="Arial"/>
          <w:shd w:val="clear" w:color="auto" w:fill="FFFFFF"/>
        </w:rPr>
        <w:t> (No. 9). Harvard University Press.</w:t>
      </w:r>
    </w:p>
    <w:p w14:paraId="56ACADE3" w14:textId="77777777" w:rsidR="00CE3BAE" w:rsidRPr="00CE3BAE" w:rsidRDefault="00CE3BAE" w:rsidP="00CE3BAE">
      <w:pPr>
        <w:spacing w:after="120" w:line="276" w:lineRule="auto"/>
        <w:ind w:left="720" w:hanging="720"/>
        <w:rPr>
          <w:rFonts w:cs="Arial"/>
          <w:shd w:val="clear" w:color="auto" w:fill="FFFFFF"/>
        </w:rPr>
      </w:pPr>
      <w:r w:rsidRPr="00CE3BAE">
        <w:rPr>
          <w:rFonts w:cs="Arial"/>
          <w:shd w:val="clear" w:color="auto" w:fill="FFFFFF"/>
        </w:rPr>
        <w:t>Taylor, E. (2000). Fostering Mezirow's transformative learning theory in the adult education classroom: A critical review. </w:t>
      </w:r>
      <w:r w:rsidRPr="00CE3BAE">
        <w:rPr>
          <w:rFonts w:cs="Arial"/>
          <w:i/>
          <w:shd w:val="clear" w:color="auto" w:fill="FFFFFF"/>
        </w:rPr>
        <w:t>The Canadian journal for the study of adult education, 14</w:t>
      </w:r>
      <w:r w:rsidRPr="00CE3BAE">
        <w:rPr>
          <w:rFonts w:cs="Arial"/>
          <w:shd w:val="clear" w:color="auto" w:fill="FFFFFF"/>
        </w:rPr>
        <w:t>(2), 1.</w:t>
      </w:r>
    </w:p>
    <w:p w14:paraId="3997CF48" w14:textId="77777777" w:rsidR="00CE3BAE" w:rsidRPr="00CE3BAE" w:rsidRDefault="00CE3BAE" w:rsidP="00CE3BAE">
      <w:pPr>
        <w:spacing w:after="120" w:line="276" w:lineRule="auto"/>
        <w:ind w:left="720" w:hanging="720"/>
      </w:pPr>
      <w:r w:rsidRPr="00CE3BAE">
        <w:rPr>
          <w:rFonts w:cs="Arial"/>
          <w:shd w:val="clear" w:color="auto" w:fill="FFFFFF"/>
        </w:rPr>
        <w:t>Vygotsky, L. (1978). Interaction between learning and development. </w:t>
      </w:r>
      <w:r w:rsidRPr="00CE3BAE">
        <w:rPr>
          <w:rFonts w:cs="Arial"/>
          <w:i/>
          <w:iCs/>
          <w:shd w:val="clear" w:color="auto" w:fill="FFFFFF"/>
        </w:rPr>
        <w:t>Readings on the development of children</w:t>
      </w:r>
      <w:r w:rsidRPr="00CE3BAE">
        <w:rPr>
          <w:rFonts w:cs="Arial"/>
          <w:shd w:val="clear" w:color="auto" w:fill="FFFFFF"/>
        </w:rPr>
        <w:t>, </w:t>
      </w:r>
      <w:r w:rsidRPr="00CE3BAE">
        <w:rPr>
          <w:rFonts w:cs="Arial"/>
          <w:i/>
          <w:iCs/>
          <w:shd w:val="clear" w:color="auto" w:fill="FFFFFF"/>
        </w:rPr>
        <w:t>23</w:t>
      </w:r>
      <w:r w:rsidRPr="00CE3BAE">
        <w:rPr>
          <w:rFonts w:cs="Arial"/>
          <w:shd w:val="clear" w:color="auto" w:fill="FFFFFF"/>
        </w:rPr>
        <w:t>(3), 34-41.</w:t>
      </w:r>
    </w:p>
    <w:p w14:paraId="0FF7D3A0" w14:textId="77777777" w:rsidR="00A657CA" w:rsidRPr="00E15703" w:rsidRDefault="00A657CA" w:rsidP="000C18B2">
      <w:pPr>
        <w:pStyle w:val="ListParagraph"/>
      </w:pPr>
    </w:p>
    <w:sectPr w:rsidR="00A657CA" w:rsidRPr="00E157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9E65" w14:textId="77777777" w:rsidR="005F4023" w:rsidRDefault="005F4023" w:rsidP="000C18B2">
      <w:r>
        <w:separator/>
      </w:r>
    </w:p>
  </w:endnote>
  <w:endnote w:type="continuationSeparator" w:id="0">
    <w:p w14:paraId="0CC200D0" w14:textId="77777777" w:rsidR="005F4023" w:rsidRDefault="005F4023" w:rsidP="000C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B63B" w14:textId="77777777" w:rsidR="002C170D" w:rsidRDefault="002C1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170D" w14:paraId="5D13011E" w14:textId="77777777" w:rsidTr="00D7272E">
      <w:tc>
        <w:tcPr>
          <w:tcW w:w="4508" w:type="dxa"/>
          <w:vAlign w:val="center"/>
        </w:tcPr>
        <w:p w14:paraId="2E070D85" w14:textId="77777777" w:rsidR="002C170D" w:rsidRDefault="002C170D" w:rsidP="002C170D">
          <w:pPr>
            <w:pStyle w:val="Footer"/>
            <w:ind w:right="360"/>
          </w:pPr>
        </w:p>
      </w:tc>
      <w:tc>
        <w:tcPr>
          <w:tcW w:w="4508" w:type="dxa"/>
          <w:vAlign w:val="bottom"/>
        </w:tcPr>
        <w:sdt>
          <w:sdtPr>
            <w:id w:val="-1064630681"/>
            <w:docPartObj>
              <w:docPartGallery w:val="Page Numbers (Bottom of Page)"/>
              <w:docPartUnique/>
            </w:docPartObj>
          </w:sdtPr>
          <w:sdtEndPr/>
          <w:sdtContent>
            <w:sdt>
              <w:sdtPr>
                <w:id w:val="-213966787"/>
                <w:docPartObj>
                  <w:docPartGallery w:val="Page Numbers (Top of Page)"/>
                  <w:docPartUnique/>
                </w:docPartObj>
              </w:sdtPr>
              <w:sdtEndPr/>
              <w:sdtContent>
                <w:p w14:paraId="5F9E759D" w14:textId="41D08BC6" w:rsidR="002C170D" w:rsidRDefault="002C170D" w:rsidP="002C170D">
                  <w:pPr>
                    <w:pStyle w:val="Footer"/>
                    <w:jc w:val="right"/>
                  </w:pPr>
                  <w:r w:rsidRPr="004020CC">
                    <w:rPr>
                      <w:sz w:val="20"/>
                      <w:szCs w:val="20"/>
                    </w:rPr>
                    <w:t xml:space="preserve">Page </w:t>
                  </w:r>
                  <w:r w:rsidRPr="004020CC">
                    <w:rPr>
                      <w:bCs/>
                      <w:sz w:val="20"/>
                      <w:szCs w:val="20"/>
                    </w:rPr>
                    <w:fldChar w:fldCharType="begin"/>
                  </w:r>
                  <w:r w:rsidRPr="004020CC">
                    <w:rPr>
                      <w:bCs/>
                      <w:sz w:val="20"/>
                      <w:szCs w:val="20"/>
                    </w:rPr>
                    <w:instrText xml:space="preserve"> PAGE </w:instrText>
                  </w:r>
                  <w:r w:rsidRPr="004020CC">
                    <w:rPr>
                      <w:bCs/>
                      <w:sz w:val="20"/>
                      <w:szCs w:val="20"/>
                    </w:rPr>
                    <w:fldChar w:fldCharType="separate"/>
                  </w:r>
                  <w:r w:rsidR="00D36EA2">
                    <w:rPr>
                      <w:bCs/>
                      <w:noProof/>
                      <w:sz w:val="20"/>
                      <w:szCs w:val="20"/>
                    </w:rPr>
                    <w:t>7</w:t>
                  </w:r>
                  <w:r w:rsidRPr="004020CC">
                    <w:rPr>
                      <w:bCs/>
                      <w:sz w:val="20"/>
                      <w:szCs w:val="20"/>
                    </w:rPr>
                    <w:fldChar w:fldCharType="end"/>
                  </w:r>
                  <w:r w:rsidRPr="004020CC">
                    <w:rPr>
                      <w:sz w:val="20"/>
                      <w:szCs w:val="20"/>
                    </w:rPr>
                    <w:t xml:space="preserve"> of </w:t>
                  </w:r>
                  <w:r w:rsidRPr="004020CC">
                    <w:rPr>
                      <w:bCs/>
                      <w:sz w:val="20"/>
                      <w:szCs w:val="20"/>
                    </w:rPr>
                    <w:fldChar w:fldCharType="begin"/>
                  </w:r>
                  <w:r w:rsidRPr="004020CC">
                    <w:rPr>
                      <w:bCs/>
                      <w:sz w:val="20"/>
                      <w:szCs w:val="20"/>
                    </w:rPr>
                    <w:instrText xml:space="preserve"> NUMPAGES  </w:instrText>
                  </w:r>
                  <w:r w:rsidRPr="004020CC">
                    <w:rPr>
                      <w:bCs/>
                      <w:sz w:val="20"/>
                      <w:szCs w:val="20"/>
                    </w:rPr>
                    <w:fldChar w:fldCharType="separate"/>
                  </w:r>
                  <w:r w:rsidR="00D36EA2">
                    <w:rPr>
                      <w:bCs/>
                      <w:noProof/>
                      <w:sz w:val="20"/>
                      <w:szCs w:val="20"/>
                    </w:rPr>
                    <w:t>9</w:t>
                  </w:r>
                  <w:r w:rsidRPr="004020CC">
                    <w:rPr>
                      <w:bCs/>
                      <w:sz w:val="20"/>
                      <w:szCs w:val="20"/>
                    </w:rPr>
                    <w:fldChar w:fldCharType="end"/>
                  </w:r>
                  <w:r>
                    <w:rPr>
                      <w:bCs/>
                      <w:sz w:val="20"/>
                      <w:szCs w:val="20"/>
                    </w:rPr>
                    <w:t xml:space="preserve">   </w:t>
                  </w:r>
                  <w:r>
                    <w:rPr>
                      <w:bCs/>
                      <w:noProof/>
                      <w:sz w:val="20"/>
                      <w:szCs w:val="20"/>
                      <w:lang w:eastAsia="en-NZ"/>
                    </w:rPr>
                    <w:drawing>
                      <wp:inline distT="0" distB="0" distL="0" distR="0" wp14:anchorId="3D1ECA1E" wp14:editId="613CC227">
                        <wp:extent cx="378472" cy="309619"/>
                        <wp:effectExtent l="0" t="0" r="2540" b="0"/>
                        <wp:docPr id="9" name="Picture 9" descr="L:\ILT\09 Projects\Embedding employability\14 - Logo\Future Ready Graduates No Words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LT\09 Projects\Embedding employability\14 - Logo\Future Ready Graduates No Words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04" cy="319462"/>
                                </a:xfrm>
                                <a:prstGeom prst="rect">
                                  <a:avLst/>
                                </a:prstGeom>
                                <a:noFill/>
                                <a:ln>
                                  <a:noFill/>
                                </a:ln>
                              </pic:spPr>
                            </pic:pic>
                          </a:graphicData>
                        </a:graphic>
                      </wp:inline>
                    </w:drawing>
                  </w:r>
                </w:p>
              </w:sdtContent>
            </w:sdt>
          </w:sdtContent>
        </w:sdt>
      </w:tc>
    </w:tr>
  </w:tbl>
  <w:p w14:paraId="202881F0" w14:textId="77777777" w:rsidR="00924C07" w:rsidRPr="002C170D" w:rsidRDefault="00924C07" w:rsidP="002C170D">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566D7" w14:textId="77777777" w:rsidR="002C170D" w:rsidRDefault="002C1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5AE7A" w14:textId="77777777" w:rsidR="005F4023" w:rsidRDefault="005F4023" w:rsidP="000C18B2">
      <w:r>
        <w:separator/>
      </w:r>
    </w:p>
  </w:footnote>
  <w:footnote w:type="continuationSeparator" w:id="0">
    <w:p w14:paraId="3E8081B5" w14:textId="77777777" w:rsidR="005F4023" w:rsidRDefault="005F4023" w:rsidP="000C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5C5D7" w14:textId="77777777" w:rsidR="002C170D" w:rsidRDefault="002C1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469C" w14:textId="77777777" w:rsidR="002C170D" w:rsidRDefault="002C1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1C5" w14:textId="77777777" w:rsidR="002C170D" w:rsidRDefault="002C1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60E8"/>
    <w:multiLevelType w:val="hybridMultilevel"/>
    <w:tmpl w:val="B90A6E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DF81FAE"/>
    <w:multiLevelType w:val="hybridMultilevel"/>
    <w:tmpl w:val="00DA0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F21903"/>
    <w:multiLevelType w:val="hybridMultilevel"/>
    <w:tmpl w:val="6F6E2A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0E2069C"/>
    <w:multiLevelType w:val="hybridMultilevel"/>
    <w:tmpl w:val="7E2494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8816CAC"/>
    <w:multiLevelType w:val="hybridMultilevel"/>
    <w:tmpl w:val="AF04B9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E3C444B"/>
    <w:multiLevelType w:val="hybridMultilevel"/>
    <w:tmpl w:val="4E80FE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EE22DDC"/>
    <w:multiLevelType w:val="hybridMultilevel"/>
    <w:tmpl w:val="3A3203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82A3B58"/>
    <w:multiLevelType w:val="hybridMultilevel"/>
    <w:tmpl w:val="E110C5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B651227"/>
    <w:multiLevelType w:val="hybridMultilevel"/>
    <w:tmpl w:val="477018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8"/>
  </w:num>
  <w:num w:numId="4">
    <w:abstractNumId w:val="2"/>
  </w:num>
  <w:num w:numId="5">
    <w:abstractNumId w:val="6"/>
  </w:num>
  <w:num w:numId="6">
    <w:abstractNumId w:val="7"/>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62"/>
    <w:rsid w:val="00034DB0"/>
    <w:rsid w:val="00066FA1"/>
    <w:rsid w:val="00067DA3"/>
    <w:rsid w:val="0008200E"/>
    <w:rsid w:val="000843EB"/>
    <w:rsid w:val="000C18B2"/>
    <w:rsid w:val="001231B2"/>
    <w:rsid w:val="00123951"/>
    <w:rsid w:val="00150DD8"/>
    <w:rsid w:val="00160FBC"/>
    <w:rsid w:val="00173F8C"/>
    <w:rsid w:val="001A231B"/>
    <w:rsid w:val="001D74C6"/>
    <w:rsid w:val="001E2FD2"/>
    <w:rsid w:val="001F4080"/>
    <w:rsid w:val="001F6DAC"/>
    <w:rsid w:val="0021290A"/>
    <w:rsid w:val="002376D3"/>
    <w:rsid w:val="00277D15"/>
    <w:rsid w:val="002C170D"/>
    <w:rsid w:val="002D2DB2"/>
    <w:rsid w:val="002D4C3A"/>
    <w:rsid w:val="002D7898"/>
    <w:rsid w:val="002F2B00"/>
    <w:rsid w:val="00351827"/>
    <w:rsid w:val="00387086"/>
    <w:rsid w:val="00397DDD"/>
    <w:rsid w:val="003A6F2D"/>
    <w:rsid w:val="003B0A22"/>
    <w:rsid w:val="003B2F84"/>
    <w:rsid w:val="003C655D"/>
    <w:rsid w:val="003D63BA"/>
    <w:rsid w:val="004071A6"/>
    <w:rsid w:val="00407427"/>
    <w:rsid w:val="00433F06"/>
    <w:rsid w:val="00434618"/>
    <w:rsid w:val="00437DDC"/>
    <w:rsid w:val="004514A4"/>
    <w:rsid w:val="004537A5"/>
    <w:rsid w:val="00467D10"/>
    <w:rsid w:val="00495924"/>
    <w:rsid w:val="004B5AB1"/>
    <w:rsid w:val="004C003F"/>
    <w:rsid w:val="004C39F7"/>
    <w:rsid w:val="004C4743"/>
    <w:rsid w:val="004D034F"/>
    <w:rsid w:val="004E380E"/>
    <w:rsid w:val="005022C6"/>
    <w:rsid w:val="005218A4"/>
    <w:rsid w:val="00546769"/>
    <w:rsid w:val="005638A0"/>
    <w:rsid w:val="00582E87"/>
    <w:rsid w:val="00596D95"/>
    <w:rsid w:val="005E32E8"/>
    <w:rsid w:val="005E692D"/>
    <w:rsid w:val="005F4023"/>
    <w:rsid w:val="006038F7"/>
    <w:rsid w:val="00657885"/>
    <w:rsid w:val="0067660C"/>
    <w:rsid w:val="0069562F"/>
    <w:rsid w:val="00696009"/>
    <w:rsid w:val="006A53BA"/>
    <w:rsid w:val="006C3E9A"/>
    <w:rsid w:val="006E194C"/>
    <w:rsid w:val="006E6C7D"/>
    <w:rsid w:val="00711E18"/>
    <w:rsid w:val="00734803"/>
    <w:rsid w:val="00743B41"/>
    <w:rsid w:val="00752F8A"/>
    <w:rsid w:val="00760BC9"/>
    <w:rsid w:val="00763849"/>
    <w:rsid w:val="007A58BE"/>
    <w:rsid w:val="007C622E"/>
    <w:rsid w:val="007D64B6"/>
    <w:rsid w:val="007F3E7A"/>
    <w:rsid w:val="008149A6"/>
    <w:rsid w:val="008206B5"/>
    <w:rsid w:val="0082457B"/>
    <w:rsid w:val="008272C1"/>
    <w:rsid w:val="0084396A"/>
    <w:rsid w:val="008606EB"/>
    <w:rsid w:val="00866C13"/>
    <w:rsid w:val="00874E4E"/>
    <w:rsid w:val="00880891"/>
    <w:rsid w:val="00880C09"/>
    <w:rsid w:val="008B262E"/>
    <w:rsid w:val="008E08C0"/>
    <w:rsid w:val="008F5223"/>
    <w:rsid w:val="008F72FC"/>
    <w:rsid w:val="00924761"/>
    <w:rsid w:val="00924C07"/>
    <w:rsid w:val="00940466"/>
    <w:rsid w:val="009469ED"/>
    <w:rsid w:val="0094742D"/>
    <w:rsid w:val="00954983"/>
    <w:rsid w:val="00965F6E"/>
    <w:rsid w:val="009746B5"/>
    <w:rsid w:val="009918E5"/>
    <w:rsid w:val="009C7F72"/>
    <w:rsid w:val="009E1182"/>
    <w:rsid w:val="009E6E75"/>
    <w:rsid w:val="00A31481"/>
    <w:rsid w:val="00A55E24"/>
    <w:rsid w:val="00A61F9B"/>
    <w:rsid w:val="00A657CA"/>
    <w:rsid w:val="00A94DD2"/>
    <w:rsid w:val="00A9738F"/>
    <w:rsid w:val="00A97B59"/>
    <w:rsid w:val="00B12375"/>
    <w:rsid w:val="00B1646E"/>
    <w:rsid w:val="00B20833"/>
    <w:rsid w:val="00B210F7"/>
    <w:rsid w:val="00B66B56"/>
    <w:rsid w:val="00B675C4"/>
    <w:rsid w:val="00BB1719"/>
    <w:rsid w:val="00BB4FC8"/>
    <w:rsid w:val="00BE4281"/>
    <w:rsid w:val="00BE5298"/>
    <w:rsid w:val="00C03837"/>
    <w:rsid w:val="00C20444"/>
    <w:rsid w:val="00C2635B"/>
    <w:rsid w:val="00C55737"/>
    <w:rsid w:val="00C670AF"/>
    <w:rsid w:val="00C73581"/>
    <w:rsid w:val="00CA2EEC"/>
    <w:rsid w:val="00CE3BAE"/>
    <w:rsid w:val="00CF40F3"/>
    <w:rsid w:val="00D11C01"/>
    <w:rsid w:val="00D25D1D"/>
    <w:rsid w:val="00D338A9"/>
    <w:rsid w:val="00D36EA2"/>
    <w:rsid w:val="00D71854"/>
    <w:rsid w:val="00D73154"/>
    <w:rsid w:val="00D821E3"/>
    <w:rsid w:val="00D93832"/>
    <w:rsid w:val="00DA23EE"/>
    <w:rsid w:val="00DB097E"/>
    <w:rsid w:val="00DC3544"/>
    <w:rsid w:val="00DC481C"/>
    <w:rsid w:val="00DD6044"/>
    <w:rsid w:val="00DF172D"/>
    <w:rsid w:val="00DF382E"/>
    <w:rsid w:val="00E15703"/>
    <w:rsid w:val="00E15F5C"/>
    <w:rsid w:val="00E35ED1"/>
    <w:rsid w:val="00E6559D"/>
    <w:rsid w:val="00E75D9F"/>
    <w:rsid w:val="00E84498"/>
    <w:rsid w:val="00E869B4"/>
    <w:rsid w:val="00E90553"/>
    <w:rsid w:val="00E95A24"/>
    <w:rsid w:val="00EB1CAB"/>
    <w:rsid w:val="00EC1329"/>
    <w:rsid w:val="00ED3E98"/>
    <w:rsid w:val="00ED4636"/>
    <w:rsid w:val="00ED4714"/>
    <w:rsid w:val="00EF5FBD"/>
    <w:rsid w:val="00F1287A"/>
    <w:rsid w:val="00F42762"/>
    <w:rsid w:val="00FA4601"/>
    <w:rsid w:val="00FB06C1"/>
    <w:rsid w:val="00FB62D9"/>
    <w:rsid w:val="00FB638A"/>
    <w:rsid w:val="00FC19DA"/>
    <w:rsid w:val="00FD02FE"/>
    <w:rsid w:val="00FE4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07EA"/>
  <w15:chartTrackingRefBased/>
  <w15:docId w15:val="{70272B3C-1C5E-44D6-92C4-9FE61C44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B2"/>
    <w:pPr>
      <w:spacing w:line="360" w:lineRule="auto"/>
    </w:pPr>
    <w:rPr>
      <w:rFonts w:ascii="Calibri" w:hAnsi="Calibri"/>
      <w:sz w:val="24"/>
      <w:szCs w:val="24"/>
    </w:rPr>
  </w:style>
  <w:style w:type="paragraph" w:styleId="Heading1">
    <w:name w:val="heading 1"/>
    <w:basedOn w:val="Normal"/>
    <w:next w:val="Normal"/>
    <w:link w:val="Heading1Char"/>
    <w:uiPriority w:val="9"/>
    <w:qFormat/>
    <w:rsid w:val="000C18B2"/>
    <w:pPr>
      <w:pBdr>
        <w:bottom w:val="single" w:sz="4" w:space="1" w:color="CCCCCC"/>
      </w:pBdr>
      <w:autoSpaceDE w:val="0"/>
      <w:autoSpaceDN w:val="0"/>
      <w:adjustRightInd w:val="0"/>
      <w:spacing w:before="400" w:after="240" w:line="240" w:lineRule="auto"/>
      <w:ind w:left="431" w:hanging="431"/>
      <w:outlineLvl w:val="0"/>
    </w:pPr>
    <w:rPr>
      <w:rFonts w:ascii="Calibri Light" w:eastAsia="Calibri" w:hAnsi="Calibri Light" w:cs="Arial"/>
      <w:bCs/>
      <w:color w:val="002C5F"/>
      <w:sz w:val="36"/>
      <w:szCs w:val="36"/>
      <w:lang w:val="en-GB" w:eastAsia="en-GB" w:bidi="en-US"/>
    </w:rPr>
  </w:style>
  <w:style w:type="paragraph" w:styleId="Heading2">
    <w:name w:val="heading 2"/>
    <w:basedOn w:val="Heading1"/>
    <w:next w:val="Normal"/>
    <w:link w:val="Heading2Char"/>
    <w:uiPriority w:val="9"/>
    <w:unhideWhenUsed/>
    <w:qFormat/>
    <w:rsid w:val="000C18B2"/>
    <w:pPr>
      <w:pBdr>
        <w:bottom w:val="none" w:sz="0" w:space="0" w:color="auto"/>
      </w:pBdr>
      <w:outlineLvl w:val="1"/>
    </w:pPr>
    <w:rPr>
      <w:sz w:val="28"/>
      <w:szCs w:val="28"/>
    </w:rPr>
  </w:style>
  <w:style w:type="paragraph" w:styleId="Heading3">
    <w:name w:val="heading 3"/>
    <w:basedOn w:val="Normal"/>
    <w:next w:val="Normal"/>
    <w:link w:val="Heading3Char"/>
    <w:uiPriority w:val="9"/>
    <w:unhideWhenUsed/>
    <w:qFormat/>
    <w:rsid w:val="00CE3BAE"/>
    <w:pPr>
      <w:keepNext/>
      <w:keepLines/>
      <w:spacing w:before="40" w:after="0"/>
      <w:outlineLvl w:val="2"/>
    </w:pPr>
    <w:rPr>
      <w:rFonts w:ascii="Calibri Light" w:eastAsiaTheme="majorEastAsia" w:hAnsi="Calibri Light" w:cstheme="majorBidi"/>
      <w:color w:val="1F4D78"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98"/>
    <w:rPr>
      <w:color w:val="0563C1" w:themeColor="hyperlink"/>
      <w:u w:val="single"/>
    </w:rPr>
  </w:style>
  <w:style w:type="paragraph" w:styleId="ListParagraph">
    <w:name w:val="List Paragraph"/>
    <w:basedOn w:val="Normal"/>
    <w:uiPriority w:val="34"/>
    <w:qFormat/>
    <w:rsid w:val="00874E4E"/>
    <w:pPr>
      <w:ind w:left="720"/>
      <w:contextualSpacing/>
    </w:pPr>
  </w:style>
  <w:style w:type="character" w:styleId="FollowedHyperlink">
    <w:name w:val="FollowedHyperlink"/>
    <w:basedOn w:val="DefaultParagraphFont"/>
    <w:uiPriority w:val="99"/>
    <w:semiHidden/>
    <w:unhideWhenUsed/>
    <w:rsid w:val="00437DDC"/>
    <w:rPr>
      <w:color w:val="954F72" w:themeColor="followedHyperlink"/>
      <w:u w:val="single"/>
    </w:rPr>
  </w:style>
  <w:style w:type="character" w:customStyle="1" w:styleId="Heading1Char">
    <w:name w:val="Heading 1 Char"/>
    <w:basedOn w:val="DefaultParagraphFont"/>
    <w:link w:val="Heading1"/>
    <w:uiPriority w:val="9"/>
    <w:rsid w:val="000C18B2"/>
    <w:rPr>
      <w:rFonts w:ascii="Calibri Light" w:eastAsia="Calibri" w:hAnsi="Calibri Light" w:cs="Arial"/>
      <w:bCs/>
      <w:color w:val="002C5F"/>
      <w:sz w:val="36"/>
      <w:szCs w:val="36"/>
      <w:lang w:val="en-GB" w:eastAsia="en-GB" w:bidi="en-US"/>
    </w:rPr>
  </w:style>
  <w:style w:type="character" w:customStyle="1" w:styleId="Heading2Char">
    <w:name w:val="Heading 2 Char"/>
    <w:basedOn w:val="DefaultParagraphFont"/>
    <w:link w:val="Heading2"/>
    <w:uiPriority w:val="9"/>
    <w:rsid w:val="000C18B2"/>
    <w:rPr>
      <w:rFonts w:ascii="Calibri Light" w:eastAsia="Calibri" w:hAnsi="Calibri Light" w:cs="Arial"/>
      <w:bCs/>
      <w:color w:val="002C5F"/>
      <w:sz w:val="28"/>
      <w:szCs w:val="28"/>
      <w:lang w:val="en-GB" w:eastAsia="en-GB" w:bidi="en-US"/>
    </w:rPr>
  </w:style>
  <w:style w:type="character" w:customStyle="1" w:styleId="Heading3Char">
    <w:name w:val="Heading 3 Char"/>
    <w:basedOn w:val="DefaultParagraphFont"/>
    <w:link w:val="Heading3"/>
    <w:uiPriority w:val="9"/>
    <w:rsid w:val="00CE3BAE"/>
    <w:rPr>
      <w:rFonts w:ascii="Calibri Light" w:eastAsiaTheme="majorEastAsia" w:hAnsi="Calibri Light" w:cstheme="majorBidi"/>
      <w:color w:val="1F4D78" w:themeColor="accent1" w:themeShade="7F"/>
      <w:sz w:val="28"/>
      <w:szCs w:val="28"/>
    </w:rPr>
  </w:style>
  <w:style w:type="paragraph" w:styleId="BalloonText">
    <w:name w:val="Balloon Text"/>
    <w:basedOn w:val="Normal"/>
    <w:link w:val="BalloonTextChar"/>
    <w:uiPriority w:val="99"/>
    <w:semiHidden/>
    <w:unhideWhenUsed/>
    <w:rsid w:val="00E95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24"/>
    <w:rPr>
      <w:rFonts w:ascii="Segoe UI" w:hAnsi="Segoe UI" w:cs="Segoe UI"/>
      <w:sz w:val="18"/>
      <w:szCs w:val="18"/>
    </w:rPr>
  </w:style>
  <w:style w:type="paragraph" w:styleId="Header">
    <w:name w:val="header"/>
    <w:basedOn w:val="Normal"/>
    <w:link w:val="HeaderChar"/>
    <w:uiPriority w:val="99"/>
    <w:unhideWhenUsed/>
    <w:rsid w:val="00924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C07"/>
    <w:rPr>
      <w:rFonts w:ascii="Verdana" w:hAnsi="Verdana"/>
    </w:rPr>
  </w:style>
  <w:style w:type="paragraph" w:styleId="Footer">
    <w:name w:val="footer"/>
    <w:basedOn w:val="Normal"/>
    <w:link w:val="FooterChar"/>
    <w:uiPriority w:val="99"/>
    <w:unhideWhenUsed/>
    <w:rsid w:val="00924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C07"/>
    <w:rPr>
      <w:rFonts w:ascii="Verdana" w:hAnsi="Verdana"/>
    </w:rPr>
  </w:style>
  <w:style w:type="table" w:styleId="TableGrid">
    <w:name w:val="Table Grid"/>
    <w:basedOn w:val="TableNormal"/>
    <w:uiPriority w:val="39"/>
    <w:rsid w:val="000C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62D9"/>
    <w:pPr>
      <w:spacing w:before="100" w:beforeAutospacing="1" w:after="100" w:afterAutospacing="1" w:line="240" w:lineRule="auto"/>
    </w:pPr>
    <w:rPr>
      <w:rFonts w:ascii="Times New Roman" w:eastAsia="Times New Roman" w:hAnsi="Times New Roman" w:cs="Times New Roman"/>
      <w:lang w:eastAsia="en-NZ"/>
    </w:rPr>
  </w:style>
  <w:style w:type="character" w:styleId="CommentReference">
    <w:name w:val="annotation reference"/>
    <w:basedOn w:val="DefaultParagraphFont"/>
    <w:uiPriority w:val="99"/>
    <w:semiHidden/>
    <w:unhideWhenUsed/>
    <w:rsid w:val="00CE3BAE"/>
    <w:rPr>
      <w:sz w:val="16"/>
      <w:szCs w:val="16"/>
    </w:rPr>
  </w:style>
  <w:style w:type="paragraph" w:styleId="CommentText">
    <w:name w:val="annotation text"/>
    <w:basedOn w:val="Normal"/>
    <w:link w:val="CommentTextChar"/>
    <w:uiPriority w:val="99"/>
    <w:unhideWhenUsed/>
    <w:rsid w:val="00CE3BAE"/>
    <w:pPr>
      <w:spacing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CE3BAE"/>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33F06"/>
    <w:rPr>
      <w:rFonts w:ascii="Calibri" w:hAnsi="Calibri"/>
      <w:b/>
      <w:bCs/>
    </w:rPr>
  </w:style>
  <w:style w:type="character" w:customStyle="1" w:styleId="CommentSubjectChar">
    <w:name w:val="Comment Subject Char"/>
    <w:basedOn w:val="CommentTextChar"/>
    <w:link w:val="CommentSubject"/>
    <w:uiPriority w:val="99"/>
    <w:semiHidden/>
    <w:rsid w:val="00433F0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3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andfonline.com/doi/full/10.1080/00461520.2012.696438?src=recsy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Geertshuis</dc:creator>
  <cp:keywords/>
  <dc:description/>
  <cp:lastModifiedBy>Susan Geertshuis</cp:lastModifiedBy>
  <cp:revision>2</cp:revision>
  <cp:lastPrinted>2017-06-19T02:16:00Z</cp:lastPrinted>
  <dcterms:created xsi:type="dcterms:W3CDTF">2019-04-16T23:13:00Z</dcterms:created>
  <dcterms:modified xsi:type="dcterms:W3CDTF">2019-04-16T23:13:00Z</dcterms:modified>
</cp:coreProperties>
</file>